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ind w:left="0" w:right="0" w:hanging="0"/>
        <w:jc w:val="center"/>
        <w:rPr/>
      </w:pPr>
      <w:r>
        <w:rPr/>
        <w:drawing>
          <wp:inline distT="0" distB="0" distL="0" distR="0">
            <wp:extent cx="804545" cy="796290"/>
            <wp:effectExtent l="0" t="0" r="0" b="0"/>
            <wp:docPr id="1" name="Imagem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2" descr=""/>
                    <pic:cNvPicPr>
                      <a:picLocks noChangeAspect="1" noChangeArrowheads="1"/>
                    </pic:cNvPicPr>
                  </pic:nvPicPr>
                  <pic:blipFill>
                    <a:blip r:embed="rId2"/>
                    <a:srcRect l="-6461" t="-3156" r="-6461" b="-3156"/>
                    <a:stretch>
                      <a:fillRect/>
                    </a:stretch>
                  </pic:blipFill>
                  <pic:spPr bwMode="auto">
                    <a:xfrm>
                      <a:off x="0" y="0"/>
                      <a:ext cx="804545" cy="796290"/>
                    </a:xfrm>
                    <a:prstGeom prst="rect">
                      <a:avLst/>
                    </a:prstGeom>
                  </pic:spPr>
                </pic:pic>
              </a:graphicData>
            </a:graphic>
          </wp:inline>
        </w:drawing>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MINISTÉRIO DA DEFESA</w:t>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EXÉRCITO BRASILEIRO</w:t>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PARQUE REGIONAL DE MANUTENÇÃO/5</w:t>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(PARQUE GENERAL ANTÔNIO DE FREITAS BRANDÃO)</w:t>
      </w:r>
    </w:p>
    <w:p>
      <w:pPr>
        <w:pStyle w:val="Normal"/>
        <w:spacing w:lineRule="auto" w:line="276" w:before="0" w:after="0"/>
        <w:ind w:left="0" w:right="0" w:hanging="0"/>
        <w:jc w:val="center"/>
        <w:rPr>
          <w:rFonts w:ascii="Times new roman" w:hAnsi="Times new roman" w:cs="Times New Roman"/>
          <w:b/>
          <w:b/>
          <w:bCs/>
          <w:i w:val="false"/>
          <w:i w:val="false"/>
          <w:iCs w:val="false"/>
          <w:color w:val="000000"/>
          <w:sz w:val="24"/>
          <w:szCs w:val="24"/>
        </w:rPr>
      </w:pPr>
      <w:r>
        <w:rPr>
          <w:rFonts w:cs="Times New Roman" w:ascii="Times new roman" w:hAnsi="Times new roman"/>
          <w:b/>
          <w:bCs/>
          <w:i w:val="false"/>
          <w:iCs w:val="false"/>
          <w:color w:val="000000"/>
          <w:sz w:val="24"/>
          <w:szCs w:val="24"/>
        </w:rPr>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TERMO DE REFERÊNCIA DE PREGÃO ELETRÔNICO SRP</w:t>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(COMPRAS)</w:t>
      </w:r>
    </w:p>
    <w:p>
      <w:pPr>
        <w:pStyle w:val="Normal"/>
        <w:spacing w:lineRule="auto" w:line="276" w:before="0" w:after="0"/>
        <w:ind w:left="0" w:right="0" w:hanging="0"/>
        <w:jc w:val="center"/>
        <w:rPr/>
      </w:pPr>
      <w:r>
        <w:rPr>
          <w:rFonts w:cs="Times New Roman" w:ascii="Times new roman" w:hAnsi="Times new roman"/>
          <w:b/>
          <w:bCs/>
          <w:i w:val="false"/>
          <w:iCs w:val="false"/>
          <w:color w:val="000000"/>
          <w:sz w:val="24"/>
          <w:szCs w:val="24"/>
        </w:rPr>
        <w:t>PREGÃO Nº 08.2023</w:t>
      </w:r>
    </w:p>
    <w:p>
      <w:pPr>
        <w:pStyle w:val="Normal"/>
        <w:spacing w:lineRule="auto" w:line="276" w:before="0" w:after="0"/>
        <w:ind w:left="0" w:right="0" w:hanging="0"/>
        <w:jc w:val="center"/>
        <w:rPr/>
      </w:pPr>
      <w:r>
        <w:rPr>
          <w:rFonts w:eastAsia="Times New Roman" w:cs="Times New Roman" w:ascii="Times new roman" w:hAnsi="Times new roman"/>
          <w:b/>
          <w:bCs/>
          <w:i w:val="false"/>
          <w:iCs w:val="false"/>
          <w:color w:val="000000"/>
          <w:sz w:val="24"/>
          <w:szCs w:val="24"/>
        </w:rPr>
        <w:t>NUP 64618.006185/2023-95</w:t>
      </w:r>
    </w:p>
    <w:p>
      <w:pPr>
        <w:pStyle w:val="Normal"/>
        <w:spacing w:lineRule="auto" w:line="276" w:before="0" w:after="170"/>
        <w:ind w:left="0" w:right="0" w:hanging="0"/>
        <w:jc w:val="both"/>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4"/>
          <w:szCs w:val="24"/>
        </w:rPr>
      </w:r>
    </w:p>
    <w:p>
      <w:pPr>
        <w:pStyle w:val="Nivel01"/>
        <w:keepNext w:val="true"/>
        <w:keepLines/>
        <w:widowControl/>
        <w:numPr>
          <w:ilvl w:val="0"/>
          <w:numId w:val="2"/>
        </w:numPr>
        <w:bidi w:val="0"/>
        <w:spacing w:lineRule="auto" w:line="276" w:before="0" w:after="170"/>
        <w:ind w:left="0" w:right="0" w:hanging="0"/>
        <w:jc w:val="both"/>
        <w:rPr/>
      </w:pPr>
      <w:r>
        <w:rPr>
          <w:rFonts w:eastAsia="ＭＳ ゴシック" w:cs="Arial" w:ascii="Times new roman" w:hAnsi="Times new roman"/>
          <w:i w:val="false"/>
          <w:iCs w:val="false"/>
          <w:color w:val="000000"/>
          <w:sz w:val="24"/>
          <w:szCs w:val="24"/>
          <w:lang w:eastAsia="pt-BR"/>
        </w:rPr>
        <w:t>CONDIÇÕES GERAIS DA CONTRATAÇÃO</w:t>
      </w:r>
    </w:p>
    <w:p>
      <w:pPr>
        <w:pStyle w:val="Nivel2"/>
        <w:widowControl/>
        <w:numPr>
          <w:ilvl w:val="1"/>
          <w:numId w:val="1"/>
        </w:numPr>
        <w:bidi w:val="0"/>
        <w:spacing w:lineRule="auto" w:line="276" w:before="0" w:after="170"/>
        <w:ind w:left="0" w:right="0" w:hanging="0"/>
        <w:jc w:val="both"/>
        <w:rPr/>
      </w:pPr>
      <w:r>
        <w:rPr>
          <w:rStyle w:val="Fontepargpadro1"/>
          <w:rFonts w:eastAsia="Times New Roman" w:cs="Times New Roman" w:ascii="Times new roman" w:hAnsi="Times new roman"/>
          <w:b w:val="false"/>
          <w:bCs w:val="false"/>
          <w:i w:val="false"/>
          <w:iCs w:val="false"/>
          <w:caps w:val="false"/>
          <w:smallCaps w:val="false"/>
          <w:color w:val="000000"/>
          <w:spacing w:val="0"/>
          <w:sz w:val="24"/>
          <w:szCs w:val="24"/>
          <w:u w:val="none"/>
          <w:lang w:eastAsia="pt-BR"/>
        </w:rPr>
        <w:t>A</w:t>
      </w:r>
      <w:r>
        <w:rPr>
          <w:rStyle w:val="Fontepargpadro1"/>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em w:val="none"/>
          <w:lang w:eastAsia="pt-BR"/>
        </w:rPr>
        <w:t>quisi</w:t>
      </w:r>
      <w:r>
        <w:rPr>
          <w:rFonts w:ascii="Times new roman" w:hAnsi="Times new roman"/>
          <w:b w:val="false"/>
          <w:i w:val="false"/>
          <w:strike w:val="false"/>
          <w:dstrike w:val="false"/>
          <w:outline w:val="false"/>
          <w:shadow w:val="false"/>
          <w:color w:val="000000"/>
          <w:sz w:val="24"/>
          <w:szCs w:val="24"/>
          <w:u w:val="none"/>
          <w:em w:val="none"/>
        </w:rPr>
        <w:t>ção de mangueiras para manutenção em 3º Escalão de VBE PC M577 A2,</w:t>
      </w:r>
      <w:r>
        <w:rPr>
          <w:rFonts w:cs="Times New Roman" w:ascii="Times new roman" w:hAnsi="Times new roman"/>
          <w:b w:val="false"/>
          <w:bCs w:val="false"/>
          <w:i w:val="false"/>
          <w:iCs w:val="false"/>
          <w:color w:val="000000"/>
          <w:sz w:val="24"/>
          <w:szCs w:val="24"/>
        </w:rPr>
        <w:t xml:space="preserve"> nos termos da tabela abaixo, conforme condições e exigências estabelecidas neste instrumento.</w:t>
      </w:r>
    </w:p>
    <w:tbl>
      <w:tblPr>
        <w:tblW w:w="9638" w:type="dxa"/>
        <w:jc w:val="left"/>
        <w:tblInd w:w="0" w:type="dxa"/>
        <w:tblCellMar>
          <w:top w:w="28" w:type="dxa"/>
          <w:left w:w="27" w:type="dxa"/>
          <w:bottom w:w="28" w:type="dxa"/>
          <w:right w:w="28" w:type="dxa"/>
        </w:tblCellMar>
      </w:tblPr>
      <w:tblGrid>
        <w:gridCol w:w="638"/>
        <w:gridCol w:w="3099"/>
        <w:gridCol w:w="1201"/>
        <w:gridCol w:w="1238"/>
        <w:gridCol w:w="799"/>
        <w:gridCol w:w="1305"/>
        <w:gridCol w:w="1357"/>
      </w:tblGrid>
      <w:tr>
        <w:trPr>
          <w:trHeight w:val="506" w:hRule="atLeast"/>
        </w:trPr>
        <w:tc>
          <w:tcPr>
            <w:tcW w:w="6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Item</w:t>
            </w:r>
          </w:p>
        </w:tc>
        <w:tc>
          <w:tcPr>
            <w:tcW w:w="30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Especificação do serviço</w:t>
            </w:r>
          </w:p>
        </w:tc>
        <w:tc>
          <w:tcPr>
            <w:tcW w:w="1201"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CATMAT</w:t>
            </w:r>
          </w:p>
        </w:tc>
        <w:tc>
          <w:tcPr>
            <w:tcW w:w="12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UNIDADE DE MEDIDA</w:t>
            </w:r>
          </w:p>
        </w:tc>
        <w:tc>
          <w:tcPr>
            <w:tcW w:w="7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QNT</w:t>
            </w:r>
          </w:p>
        </w:tc>
        <w:tc>
          <w:tcPr>
            <w:tcW w:w="1305"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Preço Unitário Médio</w:t>
            </w:r>
          </w:p>
        </w:tc>
        <w:tc>
          <w:tcPr>
            <w:tcW w:w="1357"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b/>
                <w:color w:val="000000"/>
                <w:sz w:val="24"/>
                <w:szCs w:val="24"/>
              </w:rPr>
              <w:t>Preço Médio Total</w:t>
            </w:r>
          </w:p>
        </w:tc>
      </w:tr>
      <w:tr>
        <w:trPr>
          <w:trHeight w:val="1136" w:hRule="atLeast"/>
        </w:trPr>
        <w:tc>
          <w:tcPr>
            <w:tcW w:w="6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1</w:t>
            </w:r>
          </w:p>
        </w:tc>
        <w:tc>
          <w:tcPr>
            <w:tcW w:w="30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 xml:space="preserve">MANGUEIRA DE COMBUSTÍVEL, PACOTE COMPOSTO </w:t>
              <w:br/>
              <w:t>DE 4 (QUATRO) UNIDADES (PART NUMBER 10917885-1) TM 9-2350-261-24P. Pacote com 4 unidades.</w:t>
            </w:r>
          </w:p>
        </w:tc>
        <w:tc>
          <w:tcPr>
            <w:tcW w:w="1201"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602035</w:t>
            </w:r>
          </w:p>
        </w:tc>
        <w:tc>
          <w:tcPr>
            <w:tcW w:w="12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Und</w:t>
            </w:r>
          </w:p>
        </w:tc>
        <w:tc>
          <w:tcPr>
            <w:tcW w:w="7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20</w:t>
            </w:r>
          </w:p>
        </w:tc>
        <w:tc>
          <w:tcPr>
            <w:tcW w:w="1305"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R$ 562,79</w:t>
            </w:r>
          </w:p>
        </w:tc>
        <w:tc>
          <w:tcPr>
            <w:tcW w:w="1357"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R$ 11.255,87</w:t>
            </w:r>
          </w:p>
        </w:tc>
      </w:tr>
      <w:tr>
        <w:trPr>
          <w:trHeight w:val="1556" w:hRule="atLeast"/>
        </w:trPr>
        <w:tc>
          <w:tcPr>
            <w:tcW w:w="6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2</w:t>
            </w:r>
          </w:p>
        </w:tc>
        <w:tc>
          <w:tcPr>
            <w:tcW w:w="30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 xml:space="preserve">MANGUEIRA DE ALIMENTAÇÃO DE COMBUSTÍVEL, </w:t>
              <w:br/>
              <w:t xml:space="preserve">PACOTE COMPOSTO DE 2 (DUAS) UNIDADES (PART </w:t>
              <w:br/>
              <w:t>NUMBER 10917872-2) TM 9-2350-261-24P. Pacote com 2 unidades.</w:t>
            </w:r>
          </w:p>
        </w:tc>
        <w:tc>
          <w:tcPr>
            <w:tcW w:w="1201"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602540</w:t>
            </w:r>
          </w:p>
        </w:tc>
        <w:tc>
          <w:tcPr>
            <w:tcW w:w="12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Und</w:t>
            </w:r>
          </w:p>
        </w:tc>
        <w:tc>
          <w:tcPr>
            <w:tcW w:w="7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20</w:t>
            </w:r>
          </w:p>
        </w:tc>
        <w:tc>
          <w:tcPr>
            <w:tcW w:w="1305"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R$ 897,01</w:t>
            </w:r>
          </w:p>
        </w:tc>
        <w:tc>
          <w:tcPr>
            <w:tcW w:w="1357"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R$ 17.940,27</w:t>
            </w:r>
          </w:p>
        </w:tc>
      </w:tr>
      <w:tr>
        <w:trPr>
          <w:trHeight w:val="1556" w:hRule="atLeast"/>
        </w:trPr>
        <w:tc>
          <w:tcPr>
            <w:tcW w:w="6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3</w:t>
            </w:r>
          </w:p>
        </w:tc>
        <w:tc>
          <w:tcPr>
            <w:tcW w:w="30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 xml:space="preserve">MANGUEIRA DE ALIMENTAÇÃO DE COMBUSTÍVEL, </w:t>
              <w:br/>
              <w:t xml:space="preserve">PACOTE COMPOSTO DE 3 (TRÊS) UNIDADES (PART </w:t>
              <w:br/>
              <w:t>NUMBER 10917872-1) TM 9-2350-261-24P. Pacote com 3 unidades.</w:t>
            </w:r>
          </w:p>
        </w:tc>
        <w:tc>
          <w:tcPr>
            <w:tcW w:w="1201"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602540</w:t>
            </w:r>
          </w:p>
        </w:tc>
        <w:tc>
          <w:tcPr>
            <w:tcW w:w="12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Und</w:t>
            </w:r>
          </w:p>
        </w:tc>
        <w:tc>
          <w:tcPr>
            <w:tcW w:w="7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20</w:t>
            </w:r>
          </w:p>
        </w:tc>
        <w:tc>
          <w:tcPr>
            <w:tcW w:w="1305"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R$ 438,55</w:t>
            </w:r>
          </w:p>
        </w:tc>
        <w:tc>
          <w:tcPr>
            <w:tcW w:w="1357"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R$ 8.771,07</w:t>
            </w:r>
          </w:p>
        </w:tc>
      </w:tr>
      <w:tr>
        <w:trPr>
          <w:trHeight w:val="1346" w:hRule="atLeast"/>
        </w:trPr>
        <w:tc>
          <w:tcPr>
            <w:tcW w:w="6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4</w:t>
            </w:r>
          </w:p>
        </w:tc>
        <w:tc>
          <w:tcPr>
            <w:tcW w:w="30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 xml:space="preserve">MANGUEIRA DE ALIMENTAÇÃO DE COMBUSTÍVEL, </w:t>
              <w:br/>
              <w:t xml:space="preserve">PACOTE COMPOSTO DE 2 (DUAS) UNIDADES (PART </w:t>
              <w:br/>
              <w:t>NUMBER 10917873) TM 9-2350-261-24P. Pacote com 2 unidades.</w:t>
            </w:r>
          </w:p>
        </w:tc>
        <w:tc>
          <w:tcPr>
            <w:tcW w:w="1201"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605851</w:t>
            </w:r>
          </w:p>
        </w:tc>
        <w:tc>
          <w:tcPr>
            <w:tcW w:w="12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Und</w:t>
            </w:r>
          </w:p>
        </w:tc>
        <w:tc>
          <w:tcPr>
            <w:tcW w:w="7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20</w:t>
            </w:r>
          </w:p>
        </w:tc>
        <w:tc>
          <w:tcPr>
            <w:tcW w:w="1305"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R$ 392,82</w:t>
            </w:r>
          </w:p>
        </w:tc>
        <w:tc>
          <w:tcPr>
            <w:tcW w:w="1357"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R$ 7.856,47</w:t>
            </w:r>
          </w:p>
        </w:tc>
      </w:tr>
      <w:tr>
        <w:trPr>
          <w:trHeight w:val="1766" w:hRule="atLeast"/>
        </w:trPr>
        <w:tc>
          <w:tcPr>
            <w:tcW w:w="6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5</w:t>
            </w:r>
          </w:p>
        </w:tc>
        <w:tc>
          <w:tcPr>
            <w:tcW w:w="30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 xml:space="preserve">MANGUEIRA HIDRÁULICA NORMA SAE 100R5 </w:t>
              <w:br/>
              <w:t xml:space="preserve">DIÂMETRO INTERNO 7/8”, MATERIAL DO TUBO </w:t>
              <w:br/>
              <w:t xml:space="preserve">BORRACHA SINTÉTICA RESISTENTE A ÓLEO, </w:t>
              <w:br/>
              <w:t xml:space="preserve">CARACTERÍSTICAS ADICIONAIS RESISTENTE A </w:t>
              <w:br/>
              <w:t xml:space="preserve">ABRASÃO E CONDIÇÕES CLIMÁTICAS, FAIXA DE </w:t>
              <w:br/>
              <w:t xml:space="preserve">TEMPERATURA DE -40ºC A +100ºC, COR PRETA, </w:t>
              <w:br/>
              <w:t>REFORÇADA COM 1 TRAMA FIO DE AÇO</w:t>
            </w:r>
          </w:p>
        </w:tc>
        <w:tc>
          <w:tcPr>
            <w:tcW w:w="1201"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602527</w:t>
            </w:r>
          </w:p>
        </w:tc>
        <w:tc>
          <w:tcPr>
            <w:tcW w:w="1238"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m</w:t>
            </w:r>
          </w:p>
        </w:tc>
        <w:tc>
          <w:tcPr>
            <w:tcW w:w="799"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300</w:t>
            </w:r>
          </w:p>
        </w:tc>
        <w:tc>
          <w:tcPr>
            <w:tcW w:w="1305"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R$ 140,48</w:t>
            </w:r>
          </w:p>
        </w:tc>
        <w:tc>
          <w:tcPr>
            <w:tcW w:w="1357" w:type="dxa"/>
            <w:tcBorders>
              <w:top w:val="single" w:sz="2" w:space="0" w:color="000000"/>
              <w:left w:val="single" w:sz="2" w:space="0" w:color="000000"/>
              <w:bottom w:val="single" w:sz="2" w:space="0" w:color="000000"/>
              <w:right w:val="single" w:sz="2" w:space="0" w:color="000000"/>
            </w:tcBorders>
            <w:shd w:fill="auto" w:val="clear"/>
            <w:vAlign w:val="center"/>
          </w:tcPr>
          <w:p>
            <w:pPr>
              <w:pStyle w:val="Contedodatabela"/>
              <w:spacing w:lineRule="auto" w:line="276" w:before="0" w:after="170"/>
              <w:ind w:left="0" w:right="0" w:hanging="0"/>
              <w:jc w:val="center"/>
              <w:rPr/>
            </w:pPr>
            <w:r>
              <w:rPr>
                <w:rFonts w:ascii="Times new roman" w:hAnsi="Times new roman"/>
                <w:color w:val="000000"/>
                <w:sz w:val="24"/>
                <w:szCs w:val="24"/>
              </w:rPr>
              <w:t>R$ 42.144,00</w:t>
            </w:r>
          </w:p>
        </w:tc>
      </w:tr>
    </w:tbl>
    <w:p>
      <w:pPr>
        <w:pStyle w:val="Nivel2"/>
        <w:spacing w:lineRule="auto" w:line="276" w:before="0" w:after="170"/>
        <w:ind w:left="0" w:right="0" w:hanging="0"/>
        <w:jc w:val="both"/>
        <w:rPr>
          <w:rFonts w:ascii="Times new roman" w:hAnsi="Times new roman" w:cs="Times New Roman"/>
          <w:b w:val="false"/>
          <w:b w:val="false"/>
          <w:bCs w:val="false"/>
          <w:i w:val="false"/>
          <w:i w:val="false"/>
          <w:iCs w:val="false"/>
          <w:color w:val="CE181E"/>
          <w:sz w:val="24"/>
          <w:szCs w:val="24"/>
        </w:rPr>
      </w:pPr>
      <w:r>
        <w:rPr>
          <w:rFonts w:cs="Times New Roman" w:ascii="Times new roman" w:hAnsi="Times new roman"/>
          <w:b w:val="false"/>
          <w:bCs w:val="false"/>
          <w:i w:val="false"/>
          <w:iCs w:val="false"/>
          <w:color w:val="CE181E"/>
          <w:sz w:val="24"/>
          <w:szCs w:val="24"/>
        </w:rPr>
      </w:r>
    </w:p>
    <w:p>
      <w:pPr>
        <w:pStyle w:val="Nivel2"/>
        <w:widowControl/>
        <w:numPr>
          <w:ilvl w:val="1"/>
          <w:numId w:val="1"/>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w:t>
      </w:r>
      <w:r>
        <w:rPr>
          <w:rFonts w:eastAsia="Arial" w:ascii="Times new roman" w:hAnsi="Times new roman"/>
          <w:b w:val="false"/>
          <w:bCs w:val="false"/>
          <w:i w:val="false"/>
          <w:iCs w:val="false"/>
          <w:color w:val="000000"/>
          <w:kern w:val="0"/>
          <w:sz w:val="24"/>
          <w:szCs w:val="24"/>
          <w:lang w:val="pt-BR" w:eastAsia="pt-BR" w:bidi="ar-SA"/>
        </w:rPr>
        <w:t>s bens objeto desta contratação são caracterizados como comuns, conforme justificativa constante do Estudo Técnico Preliminar.</w:t>
      </w:r>
    </w:p>
    <w:p>
      <w:pPr>
        <w:pStyle w:val="Nivel2"/>
        <w:widowControl/>
        <w:numPr>
          <w:ilvl w:val="1"/>
          <w:numId w:val="1"/>
        </w:numPr>
        <w:bidi w:val="0"/>
        <w:spacing w:lineRule="auto" w:line="276" w:before="0" w:after="170"/>
        <w:ind w:left="0" w:right="0" w:hanging="0"/>
        <w:jc w:val="both"/>
        <w:rPr/>
      </w:pPr>
      <w:r>
        <w:rPr>
          <w:rFonts w:eastAsia="Arial" w:ascii="Times new roman" w:hAnsi="Times new roman"/>
          <w:b w:val="false"/>
          <w:bCs w:val="false"/>
          <w:i w:val="false"/>
          <w:iCs w:val="false"/>
          <w:color w:val="000000"/>
          <w:kern w:val="0"/>
          <w:sz w:val="24"/>
          <w:szCs w:val="24"/>
          <w:lang w:val="pt-BR" w:eastAsia="pt-BR" w:bidi="ar-SA"/>
        </w:rPr>
        <w:t>O objeto desta contratação não se enquadra como sendo de bem de luxo, conforme Decreto nº 10.818, de 27 de setembro de 2021.</w:t>
      </w:r>
    </w:p>
    <w:p>
      <w:pPr>
        <w:pStyle w:val="Nivel2"/>
        <w:widowControl/>
        <w:numPr>
          <w:ilvl w:val="1"/>
          <w:numId w:val="1"/>
        </w:numPr>
        <w:bidi w:val="0"/>
        <w:spacing w:lineRule="auto" w:line="276" w:before="0" w:after="170"/>
        <w:ind w:left="0" w:right="0" w:hanging="0"/>
        <w:jc w:val="both"/>
        <w:rPr/>
      </w:pPr>
      <w:r>
        <w:rPr>
          <w:rFonts w:eastAsia="Arial" w:ascii="Times new roman" w:hAnsi="Times new roman"/>
          <w:b w:val="false"/>
          <w:bCs w:val="false"/>
          <w:i w:val="false"/>
          <w:iCs w:val="false"/>
          <w:color w:val="000000"/>
          <w:kern w:val="0"/>
          <w:sz w:val="24"/>
          <w:szCs w:val="24"/>
          <w:lang w:val="pt-BR" w:eastAsia="pt-BR" w:bidi="ar-SA"/>
        </w:rPr>
        <w:t>O prazo de vigência da contratação é de doze meses contados da assinatura da ata de registro de preços, na forma do artigo 105 da Lei n° 14.133, de 2021.</w:t>
      </w:r>
    </w:p>
    <w:p>
      <w:pPr>
        <w:pStyle w:val="Nivel2"/>
        <w:widowControl/>
        <w:numPr>
          <w:ilvl w:val="1"/>
          <w:numId w:val="1"/>
        </w:numPr>
        <w:bidi w:val="0"/>
        <w:spacing w:lineRule="auto" w:line="276" w:before="0" w:after="170"/>
        <w:ind w:left="0" w:right="0" w:hanging="0"/>
        <w:jc w:val="both"/>
        <w:rPr/>
      </w:pPr>
      <w:r>
        <w:rPr>
          <w:rFonts w:eastAsia="Arial" w:ascii="Times new roman" w:hAnsi="Times new roman"/>
          <w:b w:val="false"/>
          <w:bCs w:val="false"/>
          <w:i w:val="false"/>
          <w:iCs w:val="false"/>
          <w:color w:val="000000"/>
          <w:kern w:val="0"/>
          <w:sz w:val="24"/>
          <w:szCs w:val="24"/>
          <w:lang w:val="pt-BR" w:eastAsia="pt-BR" w:bidi="ar-SA"/>
        </w:rPr>
        <w:t>O contrato oferece maior detalhamento das regras que serão aplicadas em relação à vigência da contratação.</w:t>
      </w:r>
    </w:p>
    <w:p>
      <w:pPr>
        <w:pStyle w:val="Nivel01"/>
        <w:numPr>
          <w:ilvl w:val="0"/>
          <w:numId w:val="2"/>
        </w:numPr>
        <w:spacing w:lineRule="auto" w:line="276" w:before="0" w:after="170"/>
        <w:ind w:left="0" w:right="0" w:hanging="0"/>
        <w:jc w:val="both"/>
        <w:rPr/>
      </w:pPr>
      <w:r>
        <w:rPr>
          <w:rFonts w:ascii="Times new roman" w:hAnsi="Times new roman"/>
          <w:i w:val="false"/>
          <w:iCs w:val="false"/>
          <w:color w:val="000000"/>
          <w:sz w:val="24"/>
          <w:szCs w:val="24"/>
        </w:rPr>
        <w:t>FUNDAMENTAÇÃO E DESCRIÇÃO DA NECESSIDADE DA CONTRATAÇÃO</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A Fundamentação da Contratação e de seus quantitativos encontra-se pormenorizada em Tópico específico dos Estudos Técnicos Preliminares, apêndice deste Termo de Referência.</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O objeto da contratação está previsto no Plano de Contratações Anual [2023], conforme consta das informações básicas desse termo de referência.</w:t>
      </w:r>
    </w:p>
    <w:p>
      <w:pPr>
        <w:pStyle w:val="Nivel01"/>
        <w:numPr>
          <w:ilvl w:val="0"/>
          <w:numId w:val="2"/>
        </w:numPr>
        <w:spacing w:lineRule="auto" w:line="276" w:before="0" w:after="170"/>
        <w:ind w:left="0" w:right="0" w:hanging="0"/>
        <w:jc w:val="both"/>
        <w:rPr/>
      </w:pPr>
      <w:r>
        <w:rPr>
          <w:rFonts w:ascii="Times new roman" w:hAnsi="Times new roman"/>
          <w:i w:val="false"/>
          <w:iCs w:val="false"/>
          <w:color w:val="000000"/>
          <w:sz w:val="24"/>
          <w:szCs w:val="24"/>
        </w:rPr>
        <w:t>DESCRIÇÃO DA SOLUÇÃO COMO UM TODO CONSIDERADO O CICLO DE VIDA DO OBJETO E ESPECIFICAÇÃO DO PRODUTO</w:t>
      </w:r>
    </w:p>
    <w:p>
      <w:pPr>
        <w:pStyle w:val="Nivel01"/>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A descrição da solução como um todo encontra-se pormenorizada em tópico específico dos Estudos Técnicos Preliminares, apêndice deste Termo de Referência.</w:t>
      </w:r>
    </w:p>
    <w:p>
      <w:pPr>
        <w:pStyle w:val="Nivel01"/>
        <w:keepNext w:val="true"/>
        <w:keepLines/>
        <w:widowControl/>
        <w:numPr>
          <w:ilvl w:val="0"/>
          <w:numId w:val="2"/>
        </w:numPr>
        <w:bidi w:val="0"/>
        <w:spacing w:lineRule="auto" w:line="276" w:before="0" w:after="170"/>
        <w:ind w:left="0" w:right="0" w:hanging="0"/>
        <w:jc w:val="both"/>
        <w:rPr/>
      </w:pPr>
      <w:r>
        <w:rPr>
          <w:rFonts w:eastAsia="ＭＳ ゴシック" w:cs="Arial" w:ascii="Times new roman" w:hAnsi="Times new roman"/>
          <w:i w:val="false"/>
          <w:iCs w:val="false"/>
          <w:color w:val="000000"/>
          <w:sz w:val="24"/>
          <w:szCs w:val="24"/>
          <w:lang w:eastAsia="pt-BR"/>
        </w:rPr>
        <w:t>REQUISITOS DA CONTRATAÇÃO</w:t>
      </w:r>
    </w:p>
    <w:p>
      <w:pPr>
        <w:pStyle w:val="Nivel01"/>
        <w:numPr>
          <w:ilvl w:val="0"/>
          <w:numId w:val="0"/>
        </w:numPr>
        <w:spacing w:lineRule="auto" w:line="276" w:before="0" w:after="170"/>
        <w:ind w:left="0" w:right="0" w:hanging="0"/>
        <w:jc w:val="both"/>
        <w:rPr/>
      </w:pPr>
      <w:r>
        <w:rPr>
          <w:rFonts w:ascii="Times new roman" w:hAnsi="Times new roman"/>
          <w:i w:val="false"/>
          <w:iCs w:val="false"/>
          <w:color w:val="000000"/>
          <w:sz w:val="24"/>
          <w:szCs w:val="24"/>
        </w:rPr>
        <w:t>Sustentabilidade:</w:t>
      </w:r>
    </w:p>
    <w:p>
      <w:pPr>
        <w:pStyle w:val="Nivel01"/>
        <w:keepNext w:val="true"/>
        <w:keepLines/>
        <w:widowControl/>
        <w:numPr>
          <w:ilvl w:val="1"/>
          <w:numId w:val="2"/>
        </w:numPr>
        <w:bidi w:val="0"/>
        <w:spacing w:lineRule="auto" w:line="276" w:before="0" w:after="170"/>
        <w:ind w:left="0" w:right="0" w:hanging="0"/>
        <w:jc w:val="both"/>
        <w:rPr/>
      </w:pPr>
      <w:r>
        <w:rPr>
          <w:rFonts w:eastAsia="ＭＳ ゴシック" w:cs="Arial" w:ascii="Times new roman" w:hAnsi="Times new roman"/>
          <w:b w:val="false"/>
          <w:bCs w:val="false"/>
          <w:i w:val="false"/>
          <w:iCs w:val="false"/>
          <w:color w:val="000000"/>
          <w:sz w:val="24"/>
          <w:szCs w:val="24"/>
          <w:lang w:eastAsia="pt-BR"/>
        </w:rPr>
        <w:t>Além dos critérios de sustentabilidade eventualmente inseridos na descrição do objeto, devem ser atendidos os seguintes requisitos, que se baseiam no Guia Nacional de Contratações Sustentáveis:</w:t>
      </w:r>
    </w:p>
    <w:p>
      <w:pPr>
        <w:pStyle w:val="Nivel2"/>
        <w:numPr>
          <w:ilvl w:val="2"/>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Eficiência energética: Os componentes do kit a serem adquiridos deverão ser selecionados com base em sua eficiência energética. Serão considerados preferencialmente aqueles que possuam características que contribuam para a redução do consumo de energia durante o seu uso, sem comprometer a segurança e a saúde dos usuários.</w:t>
      </w:r>
    </w:p>
    <w:p>
      <w:pPr>
        <w:pStyle w:val="Nivel2"/>
        <w:numPr>
          <w:ilvl w:val="2"/>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Durabilidade: Serão priorizados os componentes do kit que apresentem maior durabilidade, ou seja, que sejam produzidos com materiais resistentes e de qualidade, visando prolongar sua vida útil e reduzir a necessidade de substituição frequente.</w:t>
      </w:r>
    </w:p>
    <w:p>
      <w:pPr>
        <w:pStyle w:val="Nivel2"/>
        <w:numPr>
          <w:ilvl w:val="2"/>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Materiais sustentáveis: Deve-se dar preferência aos componentes do kit fabricados com materiais sustentáveis, que sejam de fontes renováveis, recicláveis ou biodegradáveis. Será valorizada a utilização de matérias-primas provenientes de processos de produção com baixa emissão de carbono e baixo impacto ambiental.</w:t>
      </w:r>
    </w:p>
    <w:p>
      <w:pPr>
        <w:pStyle w:val="Nivel2"/>
        <w:numPr>
          <w:ilvl w:val="2"/>
          <w:numId w:val="2"/>
        </w:numPr>
        <w:spacing w:lineRule="auto" w:line="276" w:before="0" w:after="170"/>
        <w:ind w:left="0" w:right="0" w:hanging="0"/>
        <w:jc w:val="both"/>
        <w:rPr/>
      </w:pPr>
      <w:r>
        <w:rPr>
          <w:rFonts w:cs="Times New Roman" w:ascii="Times new roman" w:hAnsi="Times new roman"/>
          <w:b w:val="false"/>
          <w:bCs w:val="false"/>
          <w:i w:val="false"/>
          <w:iCs w:val="false"/>
          <w:color w:val="000000" w:themeColor="text1"/>
          <w:sz w:val="24"/>
          <w:szCs w:val="24"/>
        </w:rPr>
        <w:t>Embalagens sustentáveis: Caso haja embalagens envolvidas na aquisição dos componentes do kit, estas deverão ser sustentáveis, preferencialmente compostas por materiais recicláveis ou biodegradáveis. As embalagens devem ser dimensionadas de forma adequada, evitando o desperdício de materiais e minimizando a geração de resíduos.</w:t>
      </w:r>
    </w:p>
    <w:p>
      <w:pPr>
        <w:pStyle w:val="Nivel2"/>
        <w:numPr>
          <w:ilvl w:val="2"/>
          <w:numId w:val="2"/>
        </w:numPr>
        <w:spacing w:lineRule="auto" w:line="276" w:before="0" w:after="170"/>
        <w:ind w:left="0" w:right="0" w:hanging="0"/>
        <w:jc w:val="both"/>
        <w:rPr/>
      </w:pPr>
      <w:r>
        <w:rPr>
          <w:rFonts w:cs="Times New Roman" w:ascii="Times new roman" w:hAnsi="Times new roman"/>
          <w:b w:val="false"/>
          <w:bCs w:val="false"/>
          <w:i w:val="false"/>
          <w:iCs w:val="false"/>
          <w:color w:val="000000" w:themeColor="text1"/>
          <w:sz w:val="24"/>
          <w:szCs w:val="24"/>
        </w:rPr>
        <w:t>Certificações ambientais: Será exigido que os componentes do kit estejam em conformidade com as normas e certificações ambientais vigentes. Isso inclui, mas não se limita a, certificações como ISO 14001, certificados de ecoeficiência e selos de sustentabilidade reconhecidos nacional e internacionalmente.</w:t>
      </w:r>
    </w:p>
    <w:p>
      <w:pPr>
        <w:pStyle w:val="Nivel2"/>
        <w:numPr>
          <w:ilvl w:val="2"/>
          <w:numId w:val="2"/>
        </w:numPr>
        <w:spacing w:lineRule="auto" w:line="276" w:before="0" w:after="170"/>
        <w:ind w:left="0" w:right="0" w:hanging="0"/>
        <w:jc w:val="both"/>
        <w:rPr/>
      </w:pPr>
      <w:r>
        <w:rPr>
          <w:rFonts w:cs="Times New Roman" w:ascii="Times new roman" w:hAnsi="Times new roman"/>
          <w:b w:val="false"/>
          <w:bCs w:val="false"/>
          <w:i w:val="false"/>
          <w:iCs w:val="false"/>
          <w:color w:val="000000" w:themeColor="text1"/>
          <w:sz w:val="24"/>
          <w:szCs w:val="24"/>
        </w:rPr>
        <w:t>Descarte adequado: Deverão ser consideradas as orientações para o descarte adequado dos componentes do kit ao final de sua vida útil. Será valorizada a existência de programas de logística reversa ou de parcerias com empresas especializadas em destinação correta de resíduos, de forma a minimizar o impacto ambiental decorrente do descarte inadequado de qualquer um dos componentes, se for o caso.</w:t>
      </w:r>
    </w:p>
    <w:p>
      <w:pPr>
        <w:pStyle w:val="Nivel2"/>
        <w:widowControl/>
        <w:numPr>
          <w:ilvl w:val="2"/>
          <w:numId w:val="2"/>
        </w:numPr>
        <w:tabs>
          <w:tab w:val="clear" w:pos="408"/>
          <w:tab w:val="left" w:pos="567" w:leader="none"/>
        </w:tabs>
        <w:bidi w:val="0"/>
        <w:spacing w:lineRule="auto" w:line="276" w:before="0" w:after="170"/>
        <w:ind w:left="0" w:right="0" w:hanging="0"/>
        <w:jc w:val="both"/>
        <w:rPr/>
      </w:pPr>
      <w:r>
        <w:rPr>
          <w:rFonts w:eastAsia="ＭＳ ゴシック" w:cs="Times New Roman" w:ascii="Times new roman" w:hAnsi="Times new roman"/>
          <w:b w:val="false"/>
          <w:bCs w:val="false"/>
          <w:i w:val="false"/>
          <w:iCs w:val="false"/>
          <w:color w:val="000000" w:themeColor="text1"/>
          <w:sz w:val="24"/>
          <w:szCs w:val="24"/>
          <w:lang w:eastAsia="pt-BR"/>
        </w:rPr>
        <w:t>Fornecedores responsáveis: Será dada preferência a fornecedores que demonstrem comprometimento com a responsabilidade socioambiental, que adotem boas práticas de gestão e estejam engajados em iniciativas de sustentabilidade.</w:t>
      </w:r>
    </w:p>
    <w:p>
      <w:pPr>
        <w:pStyle w:val="Nivel01"/>
        <w:widowControl/>
        <w:numPr>
          <w:ilvl w:val="0"/>
          <w:numId w:val="0"/>
        </w:numPr>
        <w:bidi w:val="0"/>
        <w:spacing w:lineRule="auto" w:line="276" w:before="0" w:after="170"/>
        <w:ind w:left="0" w:right="0" w:hanging="0"/>
        <w:jc w:val="both"/>
        <w:rPr/>
      </w:pPr>
      <w:r>
        <w:rPr>
          <w:rFonts w:ascii="Times new roman" w:hAnsi="Times new roman"/>
          <w:i w:val="false"/>
          <w:iCs w:val="false"/>
          <w:color w:val="000000"/>
          <w:sz w:val="24"/>
          <w:szCs w:val="24"/>
        </w:rPr>
        <w:t>Subcontratação</w:t>
      </w:r>
    </w:p>
    <w:p>
      <w:pPr>
        <w:pStyle w:val="Nivel01"/>
        <w:keepNext w:val="true"/>
        <w:keepLines/>
        <w:widowControl/>
        <w:numPr>
          <w:ilvl w:val="1"/>
          <w:numId w:val="2"/>
        </w:numPr>
        <w:bidi w:val="0"/>
        <w:spacing w:lineRule="auto" w:line="276" w:before="0" w:after="170"/>
        <w:ind w:left="0" w:right="0" w:hanging="0"/>
        <w:jc w:val="both"/>
        <w:rPr/>
      </w:pPr>
      <w:r>
        <w:rPr>
          <w:rFonts w:eastAsia="ＭＳ ゴシック" w:cs="Arial" w:ascii="Times new roman" w:hAnsi="Times new roman"/>
          <w:b w:val="false"/>
          <w:bCs w:val="false"/>
          <w:i w:val="false"/>
          <w:iCs w:val="false"/>
          <w:color w:val="000000"/>
          <w:sz w:val="24"/>
          <w:szCs w:val="24"/>
          <w:lang w:eastAsia="pt-BR"/>
        </w:rPr>
        <w:t>Não é admitida a subcontratação do objeto contratual.</w:t>
      </w:r>
    </w:p>
    <w:p>
      <w:pPr>
        <w:pStyle w:val="Nivel01"/>
        <w:widowControl/>
        <w:numPr>
          <w:ilvl w:val="0"/>
          <w:numId w:val="0"/>
        </w:numPr>
        <w:bidi w:val="0"/>
        <w:spacing w:lineRule="auto" w:line="276" w:before="0" w:after="170"/>
        <w:ind w:left="0" w:right="0" w:hanging="0"/>
        <w:jc w:val="both"/>
        <w:rPr/>
      </w:pPr>
      <w:r>
        <w:rPr>
          <w:rFonts w:eastAsia="ＭＳ ゴシック" w:cs="Arial" w:ascii="Times new roman" w:hAnsi="Times new roman"/>
          <w:b/>
          <w:bCs/>
          <w:i w:val="false"/>
          <w:iCs w:val="false"/>
          <w:color w:val="000000"/>
          <w:sz w:val="24"/>
          <w:szCs w:val="24"/>
          <w:lang w:eastAsia="pt-BR"/>
        </w:rPr>
        <w:t>Garantia da contrataçã</w:t>
      </w:r>
      <w:r>
        <w:rPr>
          <w:rFonts w:eastAsia="ＭＳ ゴシック" w:cs="Arial" w:ascii="Times new roman" w:hAnsi="Times new roman"/>
          <w:b w:val="false"/>
          <w:bCs w:val="false"/>
          <w:i w:val="false"/>
          <w:iCs w:val="false"/>
          <w:color w:val="000000"/>
          <w:sz w:val="24"/>
          <w:szCs w:val="24"/>
          <w:lang w:eastAsia="pt-BR"/>
        </w:rPr>
        <w:t>o</w:t>
      </w:r>
    </w:p>
    <w:p>
      <w:pPr>
        <w:pStyle w:val="Nivel01"/>
        <w:keepNext w:val="true"/>
        <w:keepLines/>
        <w:widowControl/>
        <w:numPr>
          <w:ilvl w:val="1"/>
          <w:numId w:val="2"/>
        </w:numPr>
        <w:bidi w:val="0"/>
        <w:spacing w:lineRule="auto" w:line="276" w:before="0" w:after="170"/>
        <w:ind w:left="0" w:right="0" w:hanging="0"/>
        <w:jc w:val="both"/>
        <w:rPr/>
      </w:pPr>
      <w:r>
        <w:rPr>
          <w:rFonts w:eastAsia="ＭＳ ゴシック" w:cs="Arial" w:ascii="Times new roman" w:hAnsi="Times new roman"/>
          <w:b w:val="false"/>
          <w:bCs w:val="false"/>
          <w:color w:val="000000"/>
          <w:sz w:val="24"/>
          <w:szCs w:val="24"/>
          <w:lang w:eastAsia="pt-BR"/>
        </w:rPr>
        <w:t>Não haverá exigência da garantia da contratação dos artigos 96 e seguintes da Lei nº 14.133, de 2021, pelas razões constantes do Estudo Técnico Preliminar.</w:t>
      </w:r>
    </w:p>
    <w:p>
      <w:pPr>
        <w:pStyle w:val="Nivel01"/>
        <w:numPr>
          <w:ilvl w:val="0"/>
          <w:numId w:val="2"/>
        </w:numPr>
        <w:spacing w:lineRule="auto" w:line="276" w:before="0" w:after="170"/>
        <w:ind w:left="0" w:right="0" w:hanging="0"/>
        <w:jc w:val="both"/>
        <w:rPr/>
      </w:pPr>
      <w:r>
        <w:rPr>
          <w:rFonts w:ascii="Times new roman" w:hAnsi="Times new roman"/>
          <w:i w:val="false"/>
          <w:iCs w:val="false"/>
          <w:color w:val="000000"/>
          <w:sz w:val="24"/>
          <w:szCs w:val="24"/>
        </w:rPr>
        <w:t>MODELO DE EXECUÇÃO DO OBJETO</w:t>
      </w:r>
    </w:p>
    <w:p>
      <w:pPr>
        <w:pStyle w:val="Nivel01"/>
        <w:numPr>
          <w:ilvl w:val="0"/>
          <w:numId w:val="0"/>
        </w:numPr>
        <w:spacing w:lineRule="auto" w:line="276" w:before="0" w:after="170"/>
        <w:ind w:left="0" w:right="0" w:hanging="0"/>
        <w:jc w:val="both"/>
        <w:rPr/>
      </w:pPr>
      <w:r>
        <w:rPr>
          <w:rFonts w:cs="Times New Roman" w:ascii="Times new roman" w:hAnsi="Times new roman"/>
          <w:i w:val="false"/>
          <w:iCs w:val="false"/>
          <w:color w:val="000000" w:themeColor="text1"/>
          <w:sz w:val="24"/>
          <w:szCs w:val="24"/>
        </w:rPr>
        <w:t>Condições de Entrega</w:t>
      </w:r>
    </w:p>
    <w:p>
      <w:pPr>
        <w:pStyle w:val="Nivel01"/>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O prazo de entrega é de 30 (trinta) dias, contados </w:t>
      </w:r>
      <w:r>
        <w:rPr>
          <w:rFonts w:eastAsia="SimSun;宋体" w:cs="Times New Roman" w:ascii="Times new roman" w:hAnsi="Times new roman"/>
          <w:b w:val="false"/>
          <w:bCs w:val="false"/>
          <w:i w:val="false"/>
          <w:iCs w:val="false"/>
          <w:color w:val="000000"/>
          <w:kern w:val="2"/>
          <w:sz w:val="24"/>
          <w:szCs w:val="24"/>
          <w:lang w:eastAsia="zh-CN" w:bidi="hi-IN"/>
        </w:rPr>
        <w:t>a partir do envio da Nota de Empenho, a ser realizado pelo contratante ao e-mail do fornecedor cadastrado no Sistema de Cadastramento Unificado de Fornecedores – SICAF.</w:t>
      </w:r>
    </w:p>
    <w:p>
      <w:pPr>
        <w:pStyle w:val="Nivel01"/>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p>
    <w:p>
      <w:pPr>
        <w:pStyle w:val="Nivel01"/>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Os bens deverão ser entregues no seguinte endereço: Parque Regional de Manutenção/5: Av. Francisco Manoel Albizu, nº 320, Bairro: Bacacheri, Curitiba-PR, CEP:82600-370. </w:t>
      </w:r>
    </w:p>
    <w:p>
      <w:pPr>
        <w:pStyle w:val="Nivel01"/>
        <w:keepNext w:val="true"/>
        <w:keepLines/>
        <w:widowControl/>
        <w:numPr>
          <w:ilvl w:val="0"/>
          <w:numId w:val="0"/>
        </w:numPr>
        <w:bidi w:val="0"/>
        <w:spacing w:lineRule="auto" w:line="276" w:before="0" w:after="170"/>
        <w:ind w:left="0" w:right="0" w:hanging="0"/>
        <w:jc w:val="both"/>
        <w:rPr/>
      </w:pPr>
      <w:r>
        <w:rPr>
          <w:rFonts w:eastAsia="ＭＳ ゴシック" w:cs="Arial" w:ascii="Times new roman" w:hAnsi="Times new roman"/>
          <w:i w:val="false"/>
          <w:iCs w:val="false"/>
          <w:color w:val="000000"/>
          <w:sz w:val="24"/>
          <w:szCs w:val="24"/>
          <w:lang w:eastAsia="pt-BR"/>
        </w:rPr>
        <w:t>Garantia, manutenção e assistência técnica</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O prazo de garantia é aquele estabelecido na Lei nº 8.078, de 11 de setembro de 1990 (Código de Defesa do Consumidor).</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A garantia será prestada com vistas a manter os equipamentos fornecidos em perfeitas condições de uso, sem qualquer ônus ou custo adicional para o Contratante.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A garantia abrange a realização da manutenção corretiva dos bens pelo próprio Contratado, ou, se for o caso, por meio de assistência técnica autorizada, de acordo com as normas técnicas específicas.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Entende-se por manutenção corretiva aquela destinada a corrigir os defeitos apresentados pelos bens, compreendendo a substituição de peças, a realização de ajustes, reparos e correções necessárias.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Uma vez notificado, o Contratado realizará a reparação ou substituição dos bens que apresentarem vício ou defeito no prazo de até 20 (</w:t>
      </w:r>
      <w:r>
        <w:rPr>
          <w:rFonts w:eastAsia="MS Mincho" w:cs="Times New Roman" w:ascii="Times new roman" w:hAnsi="Times new roman"/>
          <w:b w:val="false"/>
          <w:bCs w:val="false"/>
          <w:i w:val="false"/>
          <w:iCs w:val="false"/>
          <w:color w:val="000000"/>
          <w:sz w:val="24"/>
          <w:szCs w:val="24"/>
        </w:rPr>
        <w:t>vinte</w:t>
      </w:r>
      <w:r>
        <w:rPr>
          <w:rFonts w:cs="Times New Roman" w:ascii="Times new roman" w:hAnsi="Times new roman"/>
          <w:b w:val="false"/>
          <w:bCs w:val="false"/>
          <w:i w:val="false"/>
          <w:iCs w:val="false"/>
          <w:color w:val="000000"/>
          <w:sz w:val="24"/>
          <w:szCs w:val="24"/>
        </w:rPr>
        <w:t xml:space="preserve">) dias úteis, contados a partir da data de retirada do equipamento das dependências da Administração pelo Contratado ou pela assistência técnica autorizada.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O prazo indicado no subitem anterior, durante seu transcurso, poderá ser prorrogado uma única vez, por igual período, mediante solicitação escrita e justificada do Contratado, aceita pelo Contratante.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 xml:space="preserve">O custo referente ao transporte dos equipamentos cobertos pela garantia será de responsabilidade do Contratado. </w:t>
      </w:r>
    </w:p>
    <w:p>
      <w:pPr>
        <w:pStyle w:val="Nivel2"/>
        <w:numPr>
          <w:ilvl w:val="1"/>
          <w:numId w:val="2"/>
        </w:numPr>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Nivel2"/>
        <w:widowControl/>
        <w:numPr>
          <w:ilvl w:val="0"/>
          <w:numId w:val="2"/>
        </w:numPr>
        <w:suppressAutoHyphens w:val="true"/>
        <w:bidi w:val="0"/>
        <w:spacing w:lineRule="auto" w:line="276" w:before="0" w:after="170"/>
        <w:ind w:left="0" w:right="0" w:hanging="0"/>
        <w:jc w:val="both"/>
        <w:rPr/>
      </w:pPr>
      <w:r>
        <w:rPr>
          <w:rFonts w:eastAsia="Arial" w:cs="Arial" w:ascii="Times new roman" w:hAnsi="Times new roman"/>
          <w:i w:val="false"/>
          <w:iCs w:val="false"/>
          <w:color w:val="000000"/>
          <w:kern w:val="0"/>
          <w:sz w:val="24"/>
          <w:szCs w:val="24"/>
          <w:lang w:val="pt-BR" w:eastAsia="pt-BR" w:bidi="ar-SA"/>
        </w:rPr>
        <w:t>MODELO DE GESTÃO DO CONTRATO</w:t>
      </w:r>
    </w:p>
    <w:p>
      <w:pPr>
        <w:pStyle w:val="Nivel2"/>
        <w:widowControl/>
        <w:numPr>
          <w:ilvl w:val="1"/>
          <w:numId w:val="2"/>
        </w:numPr>
        <w:suppressAutoHyphens w:val="true"/>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widowControl/>
        <w:numPr>
          <w:ilvl w:val="1"/>
          <w:numId w:val="2"/>
        </w:numPr>
        <w:suppressAutoHyphens w:val="true"/>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widowControl/>
        <w:numPr>
          <w:ilvl w:val="1"/>
          <w:numId w:val="2"/>
        </w:numPr>
        <w:suppressAutoHyphens w:val="true"/>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As comunicações entre o órgão ou entidade e a contratada devem ser realizadas por escrito sempre que o ato exigir tal formalidade, admitindo-se o uso de mensagem eletrônica para esse fim.</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O órgão ou entidade poderá convocar representante da empresa para adoção de providências que devam ser cumpridas de imediato.</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 </w:t>
      </w:r>
      <w:r>
        <w:rPr>
          <w:rFonts w:ascii="Times new roman" w:hAnsi="Times new roman"/>
          <w:b w:val="false"/>
          <w:bCs w:val="false"/>
          <w:i w:val="false"/>
          <w:iCs w:val="false"/>
          <w:color w:val="000000"/>
          <w:sz w:val="24"/>
          <w:szCs w:val="24"/>
        </w:rPr>
        <w:t>Após a assinatura do contrato ou instrumento equivalente</w:t>
      </w:r>
      <w:r>
        <w:rPr>
          <w:rFonts w:ascii="Times new roman" w:hAnsi="Times new roman"/>
          <w:b w:val="false"/>
          <w:bCs w:val="false"/>
          <w:i w:val="false"/>
          <w:iCs w:val="false"/>
          <w:strike/>
          <w:color w:val="000000"/>
          <w:sz w:val="24"/>
          <w:szCs w:val="24"/>
        </w:rPr>
        <w:t>,</w:t>
      </w:r>
      <w:r>
        <w:rPr>
          <w:rFonts w:ascii="Times new roman" w:hAnsi="Times new roman"/>
          <w:b w:val="false"/>
          <w:bCs w:val="false"/>
          <w:i w:val="false"/>
          <w:iCs w:val="false"/>
          <w:color w:val="000000"/>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Times new roman" w:hAnsi="Times new roman"/>
          <w:i w:val="false"/>
          <w:iCs w:val="false"/>
          <w:color w:val="000000"/>
          <w:sz w:val="24"/>
          <w:szCs w:val="24"/>
        </w:rPr>
        <w:t>Fiscalização</w:t>
      </w:r>
    </w:p>
    <w:p>
      <w:pPr>
        <w:pStyle w:val="Nivel01"/>
        <w:keepNext w:val="true"/>
        <w:keepLines/>
        <w:widowControl/>
        <w:numPr>
          <w:ilvl w:val="1"/>
          <w:numId w:val="2"/>
        </w:numPr>
        <w:bidi w:val="0"/>
        <w:spacing w:lineRule="auto" w:line="276" w:before="0" w:after="170"/>
        <w:ind w:left="0" w:right="0" w:hanging="0"/>
        <w:jc w:val="both"/>
        <w:rPr/>
      </w:pPr>
      <w:r>
        <w:rPr>
          <w:rFonts w:eastAsia="ＭＳ ゴシック" w:cs="Arial" w:ascii="Times new roman" w:hAnsi="Times new roman"/>
          <w:b w:val="false"/>
          <w:bCs w:val="false"/>
          <w:color w:val="000000"/>
          <w:sz w:val="24"/>
          <w:szCs w:val="24"/>
          <w:lang w:eastAsia="pt-BR"/>
        </w:rPr>
        <w:t>A</w:t>
      </w:r>
      <w:r>
        <w:rPr>
          <w:rFonts w:eastAsia="ＭＳ ゴシック" w:cs="Arial" w:ascii="Times new roman" w:hAnsi="Times new roman"/>
          <w:color w:val="000000"/>
          <w:sz w:val="24"/>
          <w:szCs w:val="24"/>
          <w:lang w:eastAsia="pt-BR"/>
        </w:rPr>
        <w:t xml:space="preserve"> </w:t>
      </w:r>
      <w:r>
        <w:rPr>
          <w:rFonts w:eastAsia="ＭＳ ゴシック" w:cs="Arial" w:ascii="Times new roman" w:hAnsi="Times new roman"/>
          <w:b w:val="false"/>
          <w:bCs w:val="false"/>
          <w:color w:val="000000"/>
          <w:sz w:val="24"/>
          <w:szCs w:val="24"/>
          <w:lang w:eastAsia="pt-BR"/>
        </w:rPr>
        <w:t>execução do contrato deverá ser acompanhada e fiscalizada pelo(s) fiscal(is) do contrato, ou pelos respectivos substitutos (Lei nº 14.133, de 2021, art. 117, caput).</w:t>
      </w:r>
    </w:p>
    <w:p>
      <w:pPr>
        <w:pStyle w:val="Nivel01"/>
        <w:widowControl/>
        <w:numPr>
          <w:ilvl w:val="0"/>
          <w:numId w:val="0"/>
        </w:numPr>
        <w:bidi w:val="0"/>
        <w:spacing w:lineRule="auto" w:line="276" w:before="0" w:after="170"/>
        <w:ind w:left="999" w:right="0" w:hanging="0"/>
        <w:jc w:val="both"/>
        <w:rPr/>
      </w:pPr>
      <w:r>
        <w:rPr>
          <w:rFonts w:ascii="Times new roman" w:hAnsi="Times new roman"/>
          <w:i w:val="false"/>
          <w:iCs w:val="false"/>
          <w:color w:val="000000"/>
          <w:sz w:val="24"/>
          <w:szCs w:val="24"/>
        </w:rPr>
        <w:t>Fiscalização Técnica</w:t>
      </w:r>
    </w:p>
    <w:p>
      <w:pPr>
        <w:pStyle w:val="Nivel01"/>
        <w:widowControl/>
        <w:numPr>
          <w:ilvl w:val="1"/>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01"/>
        <w:widowControl/>
        <w:numPr>
          <w:ilvl w:val="2"/>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sz w:val="24"/>
          <w:i w:val="false"/>
          <w:b w:val="false"/>
          <w:szCs w:val="24"/>
          <w:iCs w:val="false"/>
          <w:bCs w:val="false"/>
          <w:rFonts w:ascii="Times new roman" w:hAnsi="Times new roman"/>
          <w:color w:val="000000"/>
        </w:rPr>
        <w:instrText> HYPERLINK "http://www.planalto.gov.br/ccivil_03/_ato2019-2022/2021/lei/L14133.htm" \l "art117§1"</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Lei nº 14.133, de 2021, art. 117, §1º</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 xml:space="preserve">, e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"art22"</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Decreto nº 11.246, de 2022, art. 22, II);</w:t>
      </w:r>
      <w:r>
        <w:rPr>
          <w:rStyle w:val="LinkdaInternet"/>
          <w:sz w:val="24"/>
          <w:i w:val="false"/>
          <w:b w:val="false"/>
          <w:szCs w:val="24"/>
          <w:iCs w:val="false"/>
          <w:bCs w:val="false"/>
          <w:rFonts w:ascii="Times new roman" w:hAnsi="Times new roman"/>
          <w:color w:val="000000"/>
        </w:rPr>
        <w:fldChar w:fldCharType="end"/>
      </w:r>
    </w:p>
    <w:p>
      <w:pPr>
        <w:pStyle w:val="Nivel01"/>
        <w:widowControl/>
        <w:numPr>
          <w:ilvl w:val="2"/>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Identificada qualquer inexatidão ou irregularidade, o fiscal técnico do contrato emitirá notificações para a correção da execução do contrato, determinando prazo para a correção.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"art22"</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Decreto nº 11.246, de 2022, art. 22, III</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 xml:space="preserve">); </w:t>
      </w:r>
    </w:p>
    <w:p>
      <w:pPr>
        <w:pStyle w:val="Nivel01"/>
        <w:widowControl/>
        <w:numPr>
          <w:ilvl w:val="2"/>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"art22"</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Decreto nº 11.246, de 2022, art. 22, IV</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01"/>
        <w:widowControl/>
        <w:numPr>
          <w:ilvl w:val="2"/>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No caso de ocorrências que possam inviabilizar a execução do contrato nas datas aprazadas, o fiscal técnico do contrato comunicará o fato imediatamente ao gestor do contrato.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"art22"</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Decreto nº 11.246, de 2022, art. 22, V</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01"/>
        <w:widowControl/>
        <w:numPr>
          <w:ilvl w:val="2"/>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"art22"</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(Decreto nº 11.246, de 2022, art. 22, VII</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01"/>
        <w:widowControl/>
        <w:numPr>
          <w:ilvl w:val="0"/>
          <w:numId w:val="0"/>
        </w:numPr>
        <w:bidi w:val="0"/>
        <w:spacing w:lineRule="auto" w:line="276" w:before="0" w:after="170"/>
        <w:ind w:left="0" w:right="0" w:hanging="0"/>
        <w:jc w:val="both"/>
        <w:rPr/>
      </w:pPr>
      <w:r>
        <w:rPr>
          <w:rFonts w:eastAsia="ＭＳ ゴシック" w:cs="Arial" w:ascii="Times new roman" w:hAnsi="Times new roman"/>
          <w:i w:val="false"/>
          <w:iCs w:val="false"/>
          <w:color w:val="000000"/>
          <w:kern w:val="0"/>
          <w:sz w:val="24"/>
          <w:szCs w:val="24"/>
          <w:lang w:val="pt-BR" w:eastAsia="pt-BR" w:bidi="ar-SA"/>
        </w:rPr>
        <w:t>Fiscalização Administrativa</w:t>
      </w:r>
    </w:p>
    <w:p>
      <w:pPr>
        <w:pStyle w:val="Nivel01"/>
        <w:widowControl/>
        <w:numPr>
          <w:ilvl w:val="1"/>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"art23"</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Art. 23, I e II, do Decreto nº 11.246, de 2022</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01"/>
        <w:numPr>
          <w:ilvl w:val="2"/>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"https://www.planalto.gov.br/ccivil_03/_ato2019-2022/2022/Decreto/D11246.htm" \l "art23"</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Decreto nº 11.246, de 2022, art. 23, IV</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01"/>
        <w:numPr>
          <w:ilvl w:val="0"/>
          <w:numId w:val="0"/>
        </w:numPr>
        <w:spacing w:lineRule="auto" w:line="276" w:before="0" w:after="170"/>
        <w:ind w:left="0" w:right="0" w:hanging="0"/>
        <w:jc w:val="both"/>
        <w:rPr/>
      </w:pPr>
      <w:r>
        <w:rPr>
          <w:rFonts w:ascii="Times new roman" w:hAnsi="Times new roman"/>
          <w:i w:val="false"/>
          <w:iCs w:val="false"/>
          <w:color w:val="000000"/>
          <w:sz w:val="24"/>
          <w:szCs w:val="24"/>
        </w:rPr>
        <w:t>Gestor do Contrato</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2"/>
        </w:numPr>
        <w:spacing w:lineRule="auto" w:line="276" w:before="0" w:after="170"/>
        <w:ind w:left="0" w:right="0" w:hanging="0"/>
        <w:jc w:val="both"/>
        <w:rPr/>
      </w:pPr>
      <w:r>
        <w:rPr>
          <w:rFonts w:eastAsia="ＭＳ ゴシック" w:cs="Arial" w:ascii="Times new roman" w:hAnsi="Times new roman"/>
          <w:b/>
          <w:bCs/>
          <w:i w:val="false"/>
          <w:iCs w:val="false"/>
          <w:color w:val="000000"/>
          <w:sz w:val="24"/>
          <w:szCs w:val="24"/>
          <w:lang w:eastAsia="pt-BR"/>
        </w:rPr>
        <w:t>CRITÉRIOS DE MEDIÇÃO E DE PAGAMENTO</w:t>
      </w:r>
    </w:p>
    <w:p>
      <w:pPr>
        <w:pStyle w:val="Nivel2"/>
        <w:widowControl/>
        <w:suppressAutoHyphens w:val="true"/>
        <w:bidi w:val="0"/>
        <w:spacing w:lineRule="auto" w:line="276" w:before="0" w:after="170"/>
        <w:ind w:left="0" w:hanging="0"/>
        <w:jc w:val="both"/>
        <w:rPr/>
      </w:pPr>
      <w:r>
        <w:rPr>
          <w:rFonts w:eastAsia="" w:cs="Arial" w:ascii="Times new roman" w:hAnsi="Times new roman"/>
          <w:i w:val="false"/>
          <w:iCs w:val="false"/>
          <w:color w:val="000000"/>
          <w:kern w:val="0"/>
          <w:sz w:val="24"/>
          <w:szCs w:val="24"/>
          <w:lang w:val="pt-BR" w:eastAsia="pt-BR" w:bidi="ar-SA"/>
        </w:rPr>
        <w:t>Recebimento</w:t>
      </w:r>
    </w:p>
    <w:p>
      <w:pPr>
        <w:pStyle w:val="Nivel2"/>
        <w:numPr>
          <w:ilvl w:val="1"/>
          <w:numId w:val="2"/>
        </w:numPr>
        <w:spacing w:lineRule="auto" w:line="276" w:before="0" w:after="170"/>
        <w:ind w:left="0" w:hanging="0"/>
        <w:jc w:val="both"/>
        <w:rPr/>
      </w:pPr>
      <w:commentRangeStart w:id="0"/>
      <w:r>
        <w:rPr>
          <w:rFonts w:eastAsia="" w:cs="Arial" w:ascii="Times new roman" w:hAnsi="Times new roman"/>
          <w:b w:val="false"/>
          <w:bCs w:val="false"/>
          <w:i w:val="false"/>
          <w:iCs w:val="false"/>
          <w:color w:val="000000"/>
          <w:kern w:val="0"/>
          <w:sz w:val="24"/>
          <w:szCs w:val="24"/>
          <w:lang w:val="pt-BR" w:eastAsia="pt-BR" w:bidi="ar-SA"/>
        </w:rPr>
        <w:t>Os bens serão recebidos provisoriamente, de forma sumária</w:t>
      </w:r>
      <w:r>
        <w:rPr>
          <w:rFonts w:eastAsia="" w:cs="Arial" w:ascii="Times new roman" w:hAnsi="Times new roman"/>
          <w:b w:val="false"/>
          <w:bCs w:val="false"/>
          <w:i w:val="false"/>
          <w:iCs w:val="false"/>
          <w:color w:val="000000"/>
          <w:kern w:val="0"/>
          <w:sz w:val="24"/>
          <w:szCs w:val="24"/>
          <w:lang w:val="pt-BR" w:eastAsia="pt-BR" w:bidi="ar-SA"/>
        </w:rPr>
      </w:r>
      <w:commentRangeEnd w:id="0"/>
      <w:r>
        <w:commentReference w:id="0"/>
      </w:r>
      <w:r>
        <w:rPr>
          <w:rFonts w:eastAsia="" w:cs="Arial" w:ascii="Times new roman" w:hAnsi="Times new roman"/>
          <w:b w:val="false"/>
          <w:bCs w:val="false"/>
          <w:i w:val="false"/>
          <w:iCs w:val="false"/>
          <w:color w:val="000000"/>
          <w:kern w:val="0"/>
          <w:sz w:val="24"/>
          <w:szCs w:val="24"/>
          <w:lang w:val="pt-BR" w:eastAsia="pt-BR" w:bidi="ar-SA"/>
        </w:rPr>
        <w:t>,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pPr>
        <w:pStyle w:val="Nivel2"/>
        <w:numPr>
          <w:ilvl w:val="1"/>
          <w:numId w:val="2"/>
        </w:numPr>
        <w:spacing w:lineRule="auto" w:line="276" w:before="0" w:after="170"/>
        <w:ind w:left="0" w:hanging="0"/>
        <w:jc w:val="both"/>
        <w:rPr/>
      </w:pPr>
      <w:r>
        <w:rPr>
          <w:rFonts w:eastAsia="" w:cs="Arial" w:ascii="Times new roman" w:hAnsi="Times new roman"/>
          <w:b w:val="false"/>
          <w:bCs w:val="false"/>
          <w:i w:val="false"/>
          <w:iCs w:val="false"/>
          <w:color w:val="000000"/>
          <w:kern w:val="0"/>
          <w:sz w:val="24"/>
          <w:szCs w:val="24"/>
          <w:lang w:val="pt-BR" w:eastAsia="en-US" w:bidi="ar-SA"/>
        </w:rPr>
        <w:t>Os bens poderão ser rejeitados, no todo ou em parte, inclusive antes do recebimento provisório, quando em desacordo com as especificações constantes no Termo de Referência e na proposta, devendo ser substituídos no prazo de 20 (vinte) dias, a contar da notificação da contratada, às suas custas, sem prejuízo da aplicação das penalidades.</w:t>
      </w:r>
    </w:p>
    <w:p>
      <w:pPr>
        <w:pStyle w:val="Nivel2"/>
        <w:numPr>
          <w:ilvl w:val="1"/>
          <w:numId w:val="2"/>
        </w:numPr>
        <w:spacing w:lineRule="auto" w:line="276" w:before="0" w:after="170"/>
        <w:ind w:left="0" w:hanging="0"/>
        <w:jc w:val="both"/>
        <w:rPr/>
      </w:pPr>
      <w:r>
        <w:rPr>
          <w:rFonts w:ascii="Times new roman" w:hAnsi="Times new roman"/>
          <w:b w:val="false"/>
          <w:bCs w:val="false"/>
          <w:i w:val="false"/>
          <w:iCs w:val="false"/>
          <w:color w:val="000000"/>
          <w:sz w:val="24"/>
          <w:szCs w:val="24"/>
          <w:lang w:eastAsia="en-US"/>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pPr>
        <w:pStyle w:val="Nivel2"/>
        <w:numPr>
          <w:ilvl w:val="1"/>
          <w:numId w:val="2"/>
        </w:numPr>
        <w:spacing w:lineRule="auto" w:line="276" w:before="0" w:after="170"/>
        <w:ind w:left="0" w:hanging="0"/>
        <w:jc w:val="both"/>
        <w:rPr/>
      </w:pPr>
      <w:r>
        <w:rPr>
          <w:rFonts w:ascii="Times new roman" w:hAnsi="Times new roman"/>
          <w:b w:val="false"/>
          <w:bCs w:val="false"/>
          <w:i w:val="false"/>
          <w:iCs w:val="false"/>
          <w:color w:val="000000"/>
          <w:sz w:val="24"/>
          <w:szCs w:val="24"/>
          <w:lang w:eastAsia="en-US"/>
        </w:rPr>
        <w:t xml:space="preserve">Para as contratações decorrentes de despesas cujos valores não ultrapassem o limite de que trata o </w:t>
      </w:r>
      <w:r>
        <w:fldChar w:fldCharType="begin"/>
      </w:r>
      <w:r>
        <w:rPr>
          <w:rStyle w:val="LinkdaInternet"/>
          <w:sz w:val="24"/>
          <w:i w:val="false"/>
          <w:b w:val="false"/>
          <w:szCs w:val="24"/>
          <w:iCs w:val="false"/>
          <w:bCs w:val="false"/>
          <w:rFonts w:ascii="Times new roman" w:hAnsi="Times new roman"/>
          <w:color w:val="000000"/>
          <w:lang w:eastAsia="en-US"/>
        </w:rPr>
        <w:instrText> HYPERLINK "http://www.planalto.gov.br/ccivil_03/_ato2019-2022/2021/lei/L14133.htm" \l "art75"</w:instrText>
      </w:r>
      <w:r>
        <w:rPr>
          <w:rStyle w:val="LinkdaInternet"/>
          <w:sz w:val="24"/>
          <w:i w:val="false"/>
          <w:b w:val="false"/>
          <w:szCs w:val="24"/>
          <w:iCs w:val="false"/>
          <w:bCs w:val="false"/>
          <w:rFonts w:ascii="Times new roman" w:hAnsi="Times new roman"/>
          <w:color w:val="000000"/>
          <w:lang w:eastAsia="en-US"/>
        </w:rPr>
        <w:fldChar w:fldCharType="separate"/>
      </w:r>
      <w:r>
        <w:rPr>
          <w:rStyle w:val="LinkdaInternet"/>
          <w:rFonts w:ascii="Times new roman" w:hAnsi="Times new roman"/>
          <w:b w:val="false"/>
          <w:bCs w:val="false"/>
          <w:i w:val="false"/>
          <w:iCs w:val="false"/>
          <w:color w:val="000000"/>
          <w:sz w:val="24"/>
          <w:szCs w:val="24"/>
          <w:lang w:eastAsia="en-US"/>
        </w:rPr>
        <w:t>inciso II do art. 75 da Lei nº 14.133, de 2021</w:t>
      </w:r>
      <w:r>
        <w:rPr>
          <w:rStyle w:val="LinkdaInternet"/>
          <w:sz w:val="24"/>
          <w:i w:val="false"/>
          <w:b w:val="false"/>
          <w:szCs w:val="24"/>
          <w:iCs w:val="false"/>
          <w:bCs w:val="false"/>
          <w:rFonts w:ascii="Times new roman" w:hAnsi="Times new roman"/>
          <w:color w:val="000000"/>
          <w:lang w:eastAsia="en-US"/>
        </w:rPr>
        <w:fldChar w:fldCharType="end"/>
      </w:r>
      <w:r>
        <w:rPr>
          <w:rFonts w:ascii="Times new roman" w:hAnsi="Times new roman"/>
          <w:b w:val="false"/>
          <w:bCs w:val="false"/>
          <w:i w:val="false"/>
          <w:iCs w:val="false"/>
          <w:color w:val="000000"/>
          <w:sz w:val="24"/>
          <w:szCs w:val="24"/>
          <w:lang w:eastAsia="en-US"/>
        </w:rPr>
        <w:t>, o prazo máximo para o recebimento definitivo será de até 10 (dez) dias úteis.</w:t>
      </w:r>
    </w:p>
    <w:p>
      <w:pPr>
        <w:pStyle w:val="Nivel2"/>
        <w:numPr>
          <w:ilvl w:val="1"/>
          <w:numId w:val="2"/>
        </w:numPr>
        <w:spacing w:lineRule="auto" w:line="276" w:before="0" w:after="170"/>
        <w:ind w:left="0" w:hanging="0"/>
        <w:jc w:val="both"/>
        <w:rPr/>
      </w:pPr>
      <w:r>
        <w:rPr>
          <w:rFonts w:ascii="Times new roman" w:hAnsi="Times new roman"/>
          <w:b w:val="false"/>
          <w:bCs w:val="false"/>
          <w:i w:val="false"/>
          <w:iCs w:val="false"/>
          <w:color w:val="000000"/>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2"/>
        </w:numPr>
        <w:spacing w:lineRule="auto" w:line="276" w:before="0" w:after="170"/>
        <w:ind w:left="0" w:hanging="0"/>
        <w:jc w:val="both"/>
        <w:rPr/>
      </w:pPr>
      <w:r>
        <w:rPr>
          <w:rFonts w:ascii="Times new roman" w:hAnsi="Times new roman"/>
          <w:b w:val="false"/>
          <w:bCs w:val="false"/>
          <w:i w:val="false"/>
          <w:iCs w:val="false"/>
          <w:color w:val="000000"/>
          <w:sz w:val="24"/>
          <w:szCs w:val="24"/>
          <w:lang w:eastAsia="en-US"/>
        </w:rPr>
        <w:t xml:space="preserve">No caso de controvérsia sobre a execução do objeto, quanto à dimensão, qualidade e quantidade, deverá ser observado o teor do </w:t>
      </w:r>
      <w:r>
        <w:fldChar w:fldCharType="begin"/>
      </w:r>
      <w:r>
        <w:rPr>
          <w:rStyle w:val="LinkdaInternet"/>
          <w:sz w:val="24"/>
          <w:i w:val="false"/>
          <w:b w:val="false"/>
          <w:szCs w:val="24"/>
          <w:iCs w:val="false"/>
          <w:bCs w:val="false"/>
          <w:rFonts w:ascii="Times new roman" w:hAnsi="Times new roman"/>
          <w:color w:val="000000"/>
          <w:lang w:eastAsia="en-US"/>
        </w:rPr>
        <w:instrText> HYPERLINK "http://www.planalto.gov.br/ccivil_03/_ato2019-2022/2021/lei/L14133.htm" \l "art143"</w:instrText>
      </w:r>
      <w:r>
        <w:rPr>
          <w:rStyle w:val="LinkdaInternet"/>
          <w:sz w:val="24"/>
          <w:i w:val="false"/>
          <w:b w:val="false"/>
          <w:szCs w:val="24"/>
          <w:iCs w:val="false"/>
          <w:bCs w:val="false"/>
          <w:rFonts w:ascii="Times new roman" w:hAnsi="Times new roman"/>
          <w:color w:val="000000"/>
          <w:lang w:eastAsia="en-US"/>
        </w:rPr>
        <w:fldChar w:fldCharType="separate"/>
      </w:r>
      <w:r>
        <w:rPr>
          <w:rStyle w:val="LinkdaInternet"/>
          <w:rFonts w:ascii="Times new roman" w:hAnsi="Times new roman"/>
          <w:b w:val="false"/>
          <w:bCs w:val="false"/>
          <w:i w:val="false"/>
          <w:iCs w:val="false"/>
          <w:color w:val="000000"/>
          <w:sz w:val="24"/>
          <w:szCs w:val="24"/>
          <w:lang w:eastAsia="en-US"/>
        </w:rPr>
        <w:t>art. 143 da Lei nº 14.133, de 2021</w:t>
      </w:r>
      <w:r>
        <w:rPr>
          <w:rStyle w:val="LinkdaInternet"/>
          <w:sz w:val="24"/>
          <w:i w:val="false"/>
          <w:b w:val="false"/>
          <w:szCs w:val="24"/>
          <w:iCs w:val="false"/>
          <w:bCs w:val="false"/>
          <w:rFonts w:ascii="Times new roman" w:hAnsi="Times new roman"/>
          <w:color w:val="000000"/>
          <w:lang w:eastAsia="en-US"/>
        </w:rPr>
        <w:fldChar w:fldCharType="end"/>
      </w:r>
      <w:r>
        <w:rPr>
          <w:rFonts w:ascii="Times new roman" w:hAnsi="Times new roman"/>
          <w:b w:val="false"/>
          <w:bCs w:val="false"/>
          <w:i w:val="false"/>
          <w:iCs w:val="false"/>
          <w:color w:val="000000"/>
          <w:sz w:val="24"/>
          <w:szCs w:val="24"/>
          <w:lang w:eastAsia="en-US"/>
        </w:rPr>
        <w:t>, comunicando-se à empresa para emissão de Nota Fiscal no que pertine à parcela incontroversa da execução do objeto, para efeito de liquidação e pagamento.</w:t>
      </w:r>
    </w:p>
    <w:p>
      <w:pPr>
        <w:pStyle w:val="Nivel2"/>
        <w:numPr>
          <w:ilvl w:val="1"/>
          <w:numId w:val="2"/>
        </w:numPr>
        <w:spacing w:lineRule="auto" w:line="276" w:before="0" w:after="170"/>
        <w:ind w:left="0" w:hanging="0"/>
        <w:jc w:val="both"/>
        <w:rPr/>
      </w:pPr>
      <w:r>
        <w:rPr>
          <w:rFonts w:ascii="Times new roman" w:hAnsi="Times new roman"/>
          <w:b w:val="false"/>
          <w:bCs w:val="false"/>
          <w:i w:val="false"/>
          <w:iCs w:val="false"/>
          <w:color w:val="000000"/>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2"/>
        </w:numPr>
        <w:spacing w:lineRule="auto" w:line="276" w:before="0" w:after="170"/>
        <w:ind w:left="0" w:hanging="0"/>
        <w:jc w:val="both"/>
        <w:rPr/>
      </w:pPr>
      <w:r>
        <w:rPr>
          <w:rFonts w:eastAsia="ＭＳ ゴシック" w:cs="Arial" w:ascii="Times new roman" w:hAnsi="Times new roman"/>
          <w:b w:val="false"/>
          <w:bCs w:val="false"/>
          <w:i w:val="false"/>
          <w:iCs w:val="false"/>
          <w:color w:val="000000"/>
          <w:kern w:val="0"/>
          <w:sz w:val="24"/>
          <w:szCs w:val="24"/>
          <w:lang w:val="pt-BR" w:eastAsia="en-US" w:bidi="ar-SA"/>
        </w:rPr>
        <w:t>O recebimento provisório ou definitivo não excluirá a responsabilidade civil pela solidez e pela segurança dos bens nem a responsabilidade ético-profissional pela perfeita execução do contrato.</w:t>
      </w:r>
    </w:p>
    <w:p>
      <w:pPr>
        <w:pStyle w:val="Nivel2"/>
        <w:numPr>
          <w:ilvl w:val="0"/>
          <w:numId w:val="0"/>
        </w:numPr>
        <w:spacing w:lineRule="auto" w:line="276" w:before="0" w:after="170"/>
        <w:ind w:left="999" w:hanging="0"/>
        <w:jc w:val="both"/>
        <w:rPr/>
      </w:pPr>
      <w:r>
        <w:rPr>
          <w:rFonts w:eastAsia="ＭＳ ゴシック" w:cs="Arial" w:ascii="Times new roman" w:hAnsi="Times new roman"/>
          <w:b/>
          <w:bCs/>
          <w:i w:val="false"/>
          <w:iCs w:val="false"/>
          <w:color w:val="000000"/>
          <w:sz w:val="24"/>
          <w:szCs w:val="24"/>
          <w:lang w:eastAsia="en-US"/>
        </w:rPr>
        <w:t>Liquidação</w:t>
      </w:r>
    </w:p>
    <w:p>
      <w:pPr>
        <w:pStyle w:val="Nivel2"/>
        <w:numPr>
          <w:ilvl w:val="1"/>
          <w:numId w:val="2"/>
        </w:numPr>
        <w:spacing w:lineRule="auto" w:line="276" w:before="0" w:after="170"/>
        <w:ind w:left="0" w:hanging="0"/>
        <w:jc w:val="both"/>
        <w:rPr/>
      </w:pPr>
      <w:r>
        <w:rPr>
          <w:rFonts w:ascii="Times new roman" w:hAnsi="Times new roman"/>
          <w:b w:val="false"/>
          <w:bCs w:val="false"/>
          <w:i w:val="false"/>
          <w:iCs w:val="false"/>
          <w:color w:val="000000"/>
          <w:sz w:val="24"/>
          <w:szCs w:val="24"/>
          <w:lang w:eastAsia="en-US"/>
        </w:rPr>
        <w:t>Recebida a Nota Fiscal ou documento de cobrança equivalente, correrá o prazo de dez dias úteis para fins de liquidação, na forma desta seção, prorrogáveis por igual período, nos termos do art. 7º, §3</w:t>
      </w:r>
      <w:r>
        <w:rPr>
          <w:rStyle w:val="LinkdaInternet"/>
          <w:rFonts w:ascii="Times new roman" w:hAnsi="Times new roman"/>
          <w:b w:val="false"/>
          <w:bCs w:val="false"/>
          <w:i w:val="false"/>
          <w:iCs w:val="false"/>
          <w:color w:val="000000"/>
          <w:sz w:val="24"/>
          <w:szCs w:val="24"/>
          <w:lang w:eastAsia="en-US"/>
        </w:rPr>
        <w:t>º da Instrução Normativa SEGES/ME nº 77/2022</w:t>
      </w:r>
      <w:r>
        <w:rPr>
          <w:rFonts w:ascii="Times new roman" w:hAnsi="Times new roman"/>
          <w:b w:val="false"/>
          <w:bCs w:val="false"/>
          <w:i w:val="false"/>
          <w:iCs w:val="false"/>
          <w:color w:val="000000"/>
          <w:sz w:val="24"/>
          <w:szCs w:val="24"/>
          <w:lang w:eastAsia="en-US"/>
        </w:rPr>
        <w:t>.</w:t>
      </w:r>
    </w:p>
    <w:p>
      <w:pPr>
        <w:pStyle w:val="Nivel2"/>
        <w:numPr>
          <w:ilvl w:val="2"/>
          <w:numId w:val="2"/>
        </w:numPr>
        <w:spacing w:lineRule="auto" w:line="276" w:before="0" w:after="170"/>
        <w:ind w:left="0" w:hanging="0"/>
        <w:jc w:val="both"/>
        <w:rPr/>
      </w:pPr>
      <w:r>
        <w:rPr>
          <w:rFonts w:ascii="Times new roman" w:hAnsi="Times new roman"/>
          <w:b w:val="false"/>
          <w:bCs w:val="false"/>
          <w:i w:val="false"/>
          <w:iCs w:val="false"/>
          <w:color w:val="000000"/>
          <w:sz w:val="24"/>
          <w:szCs w:val="24"/>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sz w:val="24"/>
          <w:i w:val="false"/>
          <w:b w:val="false"/>
          <w:szCs w:val="24"/>
          <w:iCs w:val="false"/>
          <w:bCs w:val="false"/>
          <w:rFonts w:ascii="Times new roman" w:hAnsi="Times new roman"/>
          <w:color w:val="000000"/>
        </w:rPr>
        <w:instrText> HYPERLINK "http://www.planalto.gov.br/ccivil_03/_ato2019-2022/2021/lei/L14133.htm" \l "art75"</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inciso II do art. 75 da Lei nº 14.133, de 2021</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01"/>
        <w:widowControl/>
        <w:numPr>
          <w:ilvl w:val="1"/>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2"/>
        </w:numPr>
        <w:spacing w:lineRule="auto" w:line="276" w:before="0" w:after="170"/>
        <w:ind w:left="0" w:right="0" w:hanging="0"/>
        <w:jc w:val="both"/>
        <w:rPr/>
      </w:pPr>
      <w:r>
        <w:rPr>
          <w:rFonts w:ascii="Times new roman" w:hAnsi="Times new roman"/>
          <w:i w:val="false"/>
          <w:iCs w:val="false"/>
          <w:color w:val="000000"/>
          <w:sz w:val="24"/>
          <w:szCs w:val="24"/>
          <w:lang w:eastAsia="en-US"/>
        </w:rPr>
        <w:t>o prazo de validade;</w:t>
      </w:r>
    </w:p>
    <w:p>
      <w:pPr>
        <w:pStyle w:val="Nivel3"/>
        <w:numPr>
          <w:ilvl w:val="2"/>
          <w:numId w:val="2"/>
        </w:numPr>
        <w:spacing w:lineRule="auto" w:line="276" w:before="0" w:after="170"/>
        <w:ind w:left="0" w:right="0" w:hanging="0"/>
        <w:jc w:val="both"/>
        <w:rPr/>
      </w:pPr>
      <w:r>
        <w:rPr>
          <w:rFonts w:ascii="Times new roman" w:hAnsi="Times new roman"/>
          <w:i w:val="false"/>
          <w:iCs w:val="false"/>
          <w:color w:val="000000"/>
          <w:sz w:val="24"/>
          <w:szCs w:val="24"/>
          <w:lang w:eastAsia="en-US"/>
        </w:rPr>
        <w:t xml:space="preserve">a data da emissão; </w:t>
      </w:r>
    </w:p>
    <w:p>
      <w:pPr>
        <w:pStyle w:val="Nivel3"/>
        <w:numPr>
          <w:ilvl w:val="2"/>
          <w:numId w:val="2"/>
        </w:numPr>
        <w:spacing w:lineRule="auto" w:line="276" w:before="0" w:after="170"/>
        <w:ind w:left="0" w:right="0" w:hanging="0"/>
        <w:jc w:val="both"/>
        <w:rPr/>
      </w:pPr>
      <w:r>
        <w:rPr>
          <w:rFonts w:ascii="Times new roman" w:hAnsi="Times new roman"/>
          <w:i w:val="false"/>
          <w:iCs w:val="false"/>
          <w:color w:val="000000"/>
          <w:sz w:val="24"/>
          <w:szCs w:val="24"/>
          <w:lang w:eastAsia="en-US"/>
        </w:rPr>
        <w:t xml:space="preserve">os dados do contrato e do órgão contratante; </w:t>
      </w:r>
    </w:p>
    <w:p>
      <w:pPr>
        <w:pStyle w:val="Nivel3"/>
        <w:numPr>
          <w:ilvl w:val="2"/>
          <w:numId w:val="2"/>
        </w:numPr>
        <w:spacing w:lineRule="auto" w:line="276" w:before="0" w:after="170"/>
        <w:ind w:left="0" w:right="0" w:hanging="0"/>
        <w:jc w:val="both"/>
        <w:rPr/>
      </w:pPr>
      <w:r>
        <w:rPr>
          <w:rFonts w:ascii="Times new roman" w:hAnsi="Times new roman"/>
          <w:i w:val="false"/>
          <w:iCs w:val="false"/>
          <w:color w:val="000000"/>
          <w:sz w:val="24"/>
          <w:szCs w:val="24"/>
          <w:lang w:eastAsia="en-US"/>
        </w:rPr>
        <w:t xml:space="preserve">o período respectivo de execução do contrato; </w:t>
      </w:r>
    </w:p>
    <w:p>
      <w:pPr>
        <w:pStyle w:val="Nivel3"/>
        <w:numPr>
          <w:ilvl w:val="2"/>
          <w:numId w:val="2"/>
        </w:numPr>
        <w:spacing w:lineRule="auto" w:line="276" w:before="0" w:after="170"/>
        <w:ind w:left="0" w:right="0" w:hanging="0"/>
        <w:jc w:val="both"/>
        <w:rPr/>
      </w:pPr>
      <w:r>
        <w:rPr>
          <w:rFonts w:ascii="Times new roman" w:hAnsi="Times new roman"/>
          <w:i w:val="false"/>
          <w:iCs w:val="false"/>
          <w:color w:val="000000"/>
          <w:sz w:val="24"/>
          <w:szCs w:val="24"/>
          <w:lang w:eastAsia="en-US"/>
        </w:rPr>
        <w:t xml:space="preserve">o valor a pagar; e </w:t>
      </w:r>
    </w:p>
    <w:p>
      <w:pPr>
        <w:pStyle w:val="Nivel3"/>
        <w:widowControl/>
        <w:numPr>
          <w:ilvl w:val="2"/>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eventual destaque do valor de retenções tributárias cabíveis.</w:t>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eastAsia="Calibri" w:ascii="Times new roman" w:hAnsi="Times new roman"/>
          <w:i w:val="false"/>
          <w:iCs w:val="false"/>
          <w:color w:val="000000"/>
          <w:sz w:val="24"/>
          <w:szCs w:val="24"/>
          <w:lang w:eastAsia="en-US"/>
        </w:rPr>
        <w:t xml:space="preserve">Havendo erro na apresentação da nota fiscal ou instrumento de cobrança equivalente, ou circunstância que impeça a </w:t>
      </w:r>
      <w:r>
        <w:rPr>
          <w:rFonts w:ascii="Times new roman" w:hAnsi="Times new roman"/>
          <w:i w:val="false"/>
          <w:iCs w:val="false"/>
          <w:color w:val="000000"/>
          <w:sz w:val="24"/>
          <w:szCs w:val="24"/>
          <w:lang w:eastAsia="en-US"/>
        </w:rPr>
        <w:t>liquidação da despesa, esta ficará sobrestada até que o contratado providencie as medidas saneadoras, reiniciando-se o prazo após a comprovação da regularização da situação, sem ônus ao contratante;</w:t>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rPr>
          <w:rStyle w:val="LinkdaInternet"/>
          <w:sz w:val="24"/>
          <w:i w:val="false"/>
          <w:szCs w:val="24"/>
          <w:iCs w:val="false"/>
          <w:rFonts w:ascii="Times new roman" w:hAnsi="Times new roman"/>
          <w:color w:val="000000"/>
          <w:lang w:eastAsia="en-US"/>
        </w:rPr>
        <w:instrText> HYPERLINK "http://www.planalto.gov.br/ccivil_03/_ato2019-2022/2021/lei/L14133.htm" \l "art68"</w:instrText>
      </w:r>
      <w:r>
        <w:rPr>
          <w:rStyle w:val="LinkdaInternet"/>
          <w:sz w:val="24"/>
          <w:i w:val="false"/>
          <w:szCs w:val="24"/>
          <w:iCs w:val="false"/>
          <w:rFonts w:ascii="Times new roman" w:hAnsi="Times new roman"/>
          <w:color w:val="000000"/>
          <w:lang w:eastAsia="en-US"/>
        </w:rPr>
        <w:fldChar w:fldCharType="separate"/>
      </w:r>
      <w:r>
        <w:rPr>
          <w:rStyle w:val="LinkdaInternet"/>
          <w:rFonts w:ascii="Times new roman" w:hAnsi="Times new roman"/>
          <w:i w:val="false"/>
          <w:iCs w:val="false"/>
          <w:color w:val="000000"/>
          <w:sz w:val="24"/>
          <w:szCs w:val="24"/>
          <w:lang w:eastAsia="en-US"/>
        </w:rPr>
        <w:t>art. 68 da Lei nº 14.133, de 2021.</w:t>
      </w:r>
      <w:r>
        <w:rPr>
          <w:rStyle w:val="LinkdaInternet"/>
          <w:sz w:val="24"/>
          <w:i w:val="false"/>
          <w:szCs w:val="24"/>
          <w:iCs w:val="false"/>
          <w:rFonts w:ascii="Times new roman" w:hAnsi="Times new roman"/>
          <w:color w:val="000000"/>
          <w:lang w:eastAsia="en-US"/>
        </w:rPr>
        <w:fldChar w:fldCharType="end"/>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Persistindo a irregularidade, o contratante deverá adotar as medidas necessárias à rescisão contratual nos autos do processo administrativo correspondente, assegurada ao contratado a ampla defesa.</w:t>
      </w:r>
    </w:p>
    <w:p>
      <w:pPr>
        <w:pStyle w:val="Nivel3"/>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Havendo a efetiva execução do objeto, os pagamentos serão realizados normalmente, até que se decida pela rescisão do contrato, caso o contratado não regularize sua situação junto ao SICAF.</w:t>
      </w:r>
    </w:p>
    <w:p>
      <w:pPr>
        <w:pStyle w:val="Nivel01"/>
        <w:keepNext w:val="true"/>
        <w:keepLines/>
        <w:widowControl/>
        <w:numPr>
          <w:ilvl w:val="0"/>
          <w:numId w:val="0"/>
        </w:numPr>
        <w:bidi w:val="0"/>
        <w:spacing w:lineRule="auto" w:line="276" w:before="0" w:after="170"/>
        <w:ind w:left="0" w:right="0" w:hanging="0"/>
        <w:jc w:val="both"/>
        <w:rPr/>
      </w:pPr>
      <w:r>
        <w:rPr>
          <w:rFonts w:eastAsia="ＭＳ ゴシック" w:cs="Arial" w:ascii="Times new roman" w:hAnsi="Times new roman"/>
          <w:i w:val="false"/>
          <w:iCs w:val="false"/>
          <w:color w:val="000000"/>
          <w:sz w:val="24"/>
          <w:szCs w:val="24"/>
          <w:lang w:eastAsia="en-US"/>
        </w:rPr>
        <w:t>P</w:t>
      </w:r>
      <w:r>
        <w:rPr>
          <w:rFonts w:eastAsia="ＭＳ ゴシック" w:cs="Arial" w:ascii="Times new roman" w:hAnsi="Times new roman"/>
          <w:b/>
          <w:bCs/>
          <w:i w:val="false"/>
          <w:iCs w:val="false"/>
          <w:color w:val="000000"/>
          <w:sz w:val="24"/>
          <w:szCs w:val="24"/>
          <w:lang w:eastAsia="en-US"/>
        </w:rPr>
        <w:t>razo de pagamento</w:t>
      </w:r>
    </w:p>
    <w:p>
      <w:pPr>
        <w:pStyle w:val="Nivel01"/>
        <w:widowControl/>
        <w:numPr>
          <w:ilvl w:val="1"/>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O pagamento será efetuado no prazo de até 10 (dez) dias úteis contados da finalização da liquidação da despesa, conforme seção anterior, nos termos da </w:t>
      </w:r>
      <w:hyperlink r:id="rId3">
        <w:r>
          <w:rPr>
            <w:rStyle w:val="LinkdaInternet"/>
            <w:rFonts w:ascii="Times new roman" w:hAnsi="Times new roman"/>
            <w:b w:val="false"/>
            <w:bCs w:val="false"/>
            <w:i w:val="false"/>
            <w:iCs w:val="false"/>
            <w:color w:val="000000"/>
            <w:sz w:val="24"/>
            <w:szCs w:val="24"/>
          </w:rPr>
          <w:t>Instrução Normativa SEGES/ME nº 77, de 2022</w:t>
        </w:r>
      </w:hyperlink>
      <w:r>
        <w:rPr>
          <w:rFonts w:ascii="Times new roman" w:hAnsi="Times new roman"/>
          <w:b w:val="false"/>
          <w:bCs w:val="false"/>
          <w:i w:val="false"/>
          <w:iCs w:val="false"/>
          <w:color w:val="000000"/>
          <w:sz w:val="24"/>
          <w:szCs w:val="24"/>
        </w:rPr>
        <w:t>.</w:t>
      </w:r>
    </w:p>
    <w:p>
      <w:pPr>
        <w:pStyle w:val="Nivel01"/>
        <w:widowControl/>
        <w:numPr>
          <w:ilvl w:val="1"/>
          <w:numId w:val="2"/>
        </w:numPr>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No caso de atraso pelo Contratante, os valores devidos ao contratado serão atualizados monetariamente entre o termo final do prazo de pagamento até a data de sua efetiva realização, mediante aplicação do índice IGPM de correção monetária.</w:t>
      </w:r>
    </w:p>
    <w:p>
      <w:pPr>
        <w:pStyle w:val="Nvel1SemNumPreto"/>
        <w:widowControl/>
        <w:numPr>
          <w:ilvl w:val="0"/>
          <w:numId w:val="0"/>
        </w:numPr>
        <w:bidi w:val="0"/>
        <w:spacing w:lineRule="auto" w:line="276" w:before="0" w:after="170"/>
        <w:ind w:left="0" w:right="0" w:hanging="0"/>
        <w:jc w:val="both"/>
        <w:rPr/>
      </w:pPr>
      <w:r>
        <w:rPr>
          <w:rFonts w:cs="Times New Roman" w:ascii="Times new roman" w:hAnsi="Times new roman"/>
          <w:i w:val="false"/>
          <w:iCs w:val="false"/>
          <w:color w:val="000000"/>
          <w:sz w:val="24"/>
          <w:szCs w:val="24"/>
          <w:lang w:eastAsia="en-US"/>
        </w:rPr>
        <w:t>Forma de pagamento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cs="Times New Roman" w:ascii="Times new roman" w:hAnsi="Times new roman"/>
          <w:b w:val="false"/>
          <w:bCs w:val="false"/>
          <w:i w:val="false"/>
          <w:iCs w:val="false"/>
          <w:color w:val="000000"/>
          <w:sz w:val="24"/>
          <w:szCs w:val="24"/>
          <w:lang w:eastAsia="en-US"/>
        </w:rPr>
        <w:t>O pagamento será realizado por meio de ordem bancária, para crédito em banco, agência e conta corrente indicados pelo contratado.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Será considerada data do pagamento o dia em que constar como emitida a ordem bancária para pagamento.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Quando do pagamento, será efetuada a retenção tributária prevista na legislação aplicável.</w:t>
      </w:r>
    </w:p>
    <w:p>
      <w:pPr>
        <w:pStyle w:val="Nivel2"/>
        <w:widowControl/>
        <w:numPr>
          <w:ilvl w:val="2"/>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Independentemente do percentual de tributo inserido na planilha, quando houver, serão retidos na fonte, quando da realização do pagamento, os percentuais estabelecidos na legislação vigente.</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 xml:space="preserve">O contratado regularmente optante pelo Simples Nacional, nos termos da </w:t>
      </w:r>
      <w:hyperlink r:id="rId4">
        <w:r>
          <w:rPr>
            <w:rStyle w:val="LinkdaInternet"/>
            <w:rFonts w:ascii="Times new roman" w:hAnsi="Times new roman"/>
            <w:b w:val="false"/>
            <w:bCs w:val="false"/>
            <w:i w:val="false"/>
            <w:iCs w:val="false"/>
            <w:color w:val="000000"/>
            <w:sz w:val="24"/>
            <w:szCs w:val="24"/>
            <w:lang w:eastAsia="en-US"/>
          </w:rPr>
          <w:t>Lei Complementar nº 123, de 2006</w:t>
        </w:r>
      </w:hyperlink>
      <w:r>
        <w:rPr>
          <w:rFonts w:ascii="Times new roman" w:hAnsi="Times new roman"/>
          <w:b w:val="false"/>
          <w:bCs w:val="false"/>
          <w:i w:val="false"/>
          <w:iCs w:val="false"/>
          <w:color w:val="000000"/>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widowControl/>
        <w:numPr>
          <w:ilvl w:val="0"/>
          <w:numId w:val="0"/>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lang w:eastAsia="en-US"/>
        </w:rPr>
        <w:t>Cessão de crédito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 xml:space="preserve">É admitida a cessão fiduciária de direitos creditícios com instituição financeira, nos termos e de acordo com os procedimentos previstos na </w:t>
      </w:r>
      <w:hyperlink r:id="rId5">
        <w:r>
          <w:rPr>
            <w:rStyle w:val="LinkdaInternet"/>
            <w:rFonts w:ascii="Times new roman" w:hAnsi="Times new roman"/>
            <w:b w:val="false"/>
            <w:bCs w:val="false"/>
            <w:i w:val="false"/>
            <w:iCs w:val="false"/>
            <w:color w:val="000000"/>
            <w:sz w:val="24"/>
            <w:szCs w:val="24"/>
            <w:lang w:eastAsia="en-US"/>
          </w:rPr>
          <w:t>Instrução Normativa SEGES/ME nº 53, de 8 de Julho de 2020</w:t>
        </w:r>
      </w:hyperlink>
      <w:r>
        <w:rPr>
          <w:rFonts w:ascii="Times new roman" w:hAnsi="Times new roman"/>
          <w:b w:val="false"/>
          <w:bCs w:val="false"/>
          <w:i w:val="false"/>
          <w:iCs w:val="false"/>
          <w:color w:val="000000"/>
          <w:sz w:val="24"/>
          <w:szCs w:val="24"/>
          <w:lang w:eastAsia="en-US"/>
        </w:rPr>
        <w:t>, conforme as regras deste presente tópico.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A eficácia da cessão de crédito, de qualquer natureza, em relação à Administração, está condicionada à celebração de termo aditivo ao contrato administrativo.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sz w:val="24"/>
          <w:i w:val="false"/>
          <w:b w:val="false"/>
          <w:szCs w:val="24"/>
          <w:iCs w:val="false"/>
          <w:bCs w:val="false"/>
          <w:rFonts w:ascii="Times new roman" w:hAnsi="Times new roman"/>
          <w:color w:val="000000"/>
          <w:lang w:eastAsia="en-US"/>
        </w:rPr>
        <w:instrText> HYPERLINK "https://www.planalto.gov.br/ccivil_03/leis/l8429.htm" \l ":~:text=LEI Nº 8.429%2C DE 2 DE JUNHO DE 1992&amp;text=Dispõe sobre as sanções aplicáveis,fundacional e dá outras providências."</w:instrText>
      </w:r>
      <w:r>
        <w:rPr>
          <w:rStyle w:val="LinkdaInternet"/>
          <w:sz w:val="24"/>
          <w:i w:val="false"/>
          <w:b w:val="false"/>
          <w:szCs w:val="24"/>
          <w:iCs w:val="false"/>
          <w:bCs w:val="false"/>
          <w:rFonts w:ascii="Times new roman" w:hAnsi="Times new roman"/>
          <w:color w:val="000000"/>
          <w:lang w:eastAsia="en-US"/>
        </w:rPr>
        <w:fldChar w:fldCharType="separate"/>
      </w:r>
      <w:r>
        <w:rPr>
          <w:rStyle w:val="LinkdaInternet"/>
          <w:rFonts w:ascii="Times new roman" w:hAnsi="Times new roman"/>
          <w:b w:val="false"/>
          <w:bCs w:val="false"/>
          <w:i w:val="false"/>
          <w:iCs w:val="false"/>
          <w:color w:val="000000"/>
          <w:sz w:val="24"/>
          <w:szCs w:val="24"/>
          <w:lang w:eastAsia="en-US"/>
        </w:rPr>
        <w:t>o art. 12 da Lei nº 8.429, de 1992</w:t>
      </w:r>
      <w:r>
        <w:rPr>
          <w:rStyle w:val="LinkdaInternet"/>
          <w:sz w:val="24"/>
          <w:i w:val="false"/>
          <w:b w:val="false"/>
          <w:szCs w:val="24"/>
          <w:iCs w:val="false"/>
          <w:bCs w:val="false"/>
          <w:rFonts w:ascii="Times new roman" w:hAnsi="Times new roman"/>
          <w:color w:val="000000"/>
          <w:lang w:eastAsia="en-US"/>
        </w:rPr>
        <w:fldChar w:fldCharType="end"/>
      </w:r>
      <w:r>
        <w:rPr>
          <w:rFonts w:ascii="Times new roman" w:hAnsi="Times new roman"/>
          <w:b w:val="false"/>
          <w:bCs w:val="false"/>
          <w:i w:val="false"/>
          <w:iCs w:val="false"/>
          <w:color w:val="000000"/>
          <w:sz w:val="24"/>
          <w:szCs w:val="24"/>
          <w:lang w:eastAsia="en-US"/>
        </w:rPr>
        <w:t xml:space="preserve">, nos termos do </w:t>
      </w:r>
      <w:hyperlink r:id="rId6">
        <w:r>
          <w:rPr>
            <w:rStyle w:val="LinkdaInternet"/>
            <w:rFonts w:ascii="Times new roman" w:hAnsi="Times new roman"/>
            <w:b w:val="false"/>
            <w:bCs w:val="false"/>
            <w:i w:val="false"/>
            <w:iCs w:val="false"/>
            <w:color w:val="000000"/>
            <w:sz w:val="24"/>
            <w:szCs w:val="24"/>
            <w:lang w:eastAsia="en-US"/>
          </w:rPr>
          <w:t>Parecer JL-01, de 18 de maio de 2020.</w:t>
        </w:r>
      </w:hyperlink>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lang w:eastAsia="en-US"/>
        </w:rPr>
        <w:t>A cessão de crédito não afetará a execução do objeto contratado, que continuará sob a integral responsabilidade do contratado.</w:t>
      </w:r>
    </w:p>
    <w:p>
      <w:pPr>
        <w:pStyle w:val="Nivel2"/>
        <w:widowControl/>
        <w:numPr>
          <w:ilvl w:val="0"/>
          <w:numId w:val="2"/>
        </w:numPr>
        <w:tabs>
          <w:tab w:val="clear" w:pos="408"/>
          <w:tab w:val="left" w:pos="567" w:leader="none"/>
        </w:tabs>
        <w:bidi w:val="0"/>
        <w:spacing w:lineRule="auto" w:line="276" w:before="0" w:after="170"/>
        <w:ind w:left="0" w:right="0" w:hanging="0"/>
        <w:jc w:val="both"/>
        <w:rPr/>
      </w:pPr>
      <w:r>
        <w:rPr>
          <w:rFonts w:eastAsia="ＭＳ ゴシック" w:cs="Arial" w:ascii="Times new roman" w:hAnsi="Times new roman"/>
          <w:i w:val="false"/>
          <w:iCs w:val="false"/>
          <w:color w:val="000000"/>
          <w:sz w:val="24"/>
          <w:szCs w:val="24"/>
          <w:lang w:eastAsia="pt-BR"/>
        </w:rPr>
        <w:t>FORMA E CRITÉRIOS DE SELEÇÃO DO FORNECEDOR E FORMA DE FORNECIMENTO</w:t>
      </w:r>
    </w:p>
    <w:p>
      <w:pPr>
        <w:pStyle w:val="Nivel2"/>
        <w:widowControl/>
        <w:numPr>
          <w:ilvl w:val="0"/>
          <w:numId w:val="0"/>
        </w:numPr>
        <w:tabs>
          <w:tab w:val="clear" w:pos="408"/>
          <w:tab w:val="left" w:pos="567" w:leader="none"/>
        </w:tabs>
        <w:bidi w:val="0"/>
        <w:spacing w:lineRule="auto" w:line="276" w:before="0" w:after="170"/>
        <w:ind w:left="360" w:right="0" w:hanging="0"/>
        <w:jc w:val="both"/>
        <w:rPr/>
      </w:pPr>
      <w:r>
        <w:rPr>
          <w:rFonts w:eastAsia="ＭＳ ゴシック" w:cs="Arial" w:ascii="Times new roman" w:hAnsi="Times new roman"/>
          <w:i w:val="false"/>
          <w:iCs w:val="false"/>
          <w:color w:val="000000"/>
          <w:sz w:val="24"/>
          <w:szCs w:val="24"/>
          <w:lang w:eastAsia="pt-BR"/>
        </w:rPr>
        <w:t>Forma de seleção e critério de julgamento da proposta</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eastAsia="Arial" w:cs="Times New Roman" w:ascii="Times new roman" w:hAnsi="Times new roman"/>
          <w:b w:val="false"/>
          <w:bCs w:val="false"/>
          <w:i w:val="false"/>
          <w:iCs w:val="false"/>
          <w:color w:val="000000"/>
          <w:sz w:val="24"/>
          <w:szCs w:val="24"/>
          <w:lang w:eastAsia="pt-BR"/>
        </w:rPr>
        <w:t>O fornecedor será selecionado por meio da realização de procedimento de LICITAÇÃO, na modalidade PREGÃO, sob a forma ELETRÔNICA, com adoção do critério de julgamento pelo MENOR PREÇO.</w:t>
      </w:r>
    </w:p>
    <w:p>
      <w:pPr>
        <w:pStyle w:val="Nivel2"/>
        <w:widowControl/>
        <w:numPr>
          <w:ilvl w:val="0"/>
          <w:numId w:val="0"/>
        </w:numPr>
        <w:tabs>
          <w:tab w:val="clear" w:pos="408"/>
          <w:tab w:val="left" w:pos="567" w:leader="none"/>
        </w:tabs>
        <w:bidi w:val="0"/>
        <w:spacing w:lineRule="auto" w:line="276" w:before="0" w:after="170"/>
        <w:ind w:left="0" w:right="0" w:hanging="0"/>
        <w:jc w:val="both"/>
        <w:rPr/>
      </w:pPr>
      <w:r>
        <w:rPr>
          <w:rFonts w:eastAsia="Arial" w:cs="Times New Roman" w:ascii="Times new roman" w:hAnsi="Times new roman"/>
          <w:b/>
          <w:bCs/>
          <w:i w:val="false"/>
          <w:iCs w:val="false"/>
          <w:color w:val="000000"/>
          <w:sz w:val="24"/>
          <w:szCs w:val="24"/>
          <w:lang w:eastAsia="pt-BR"/>
        </w:rPr>
        <w:t>Forma de fornecimento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eastAsia="Arial" w:cs="Arial" w:ascii="Times new roman" w:hAnsi="Times new roman"/>
          <w:b w:val="false"/>
          <w:bCs w:val="false"/>
          <w:color w:val="000000"/>
          <w:sz w:val="24"/>
          <w:szCs w:val="24"/>
          <w:lang w:eastAsia="pt-BR"/>
        </w:rPr>
        <w:t>O fornecimento do objeto será integral.</w:t>
      </w:r>
    </w:p>
    <w:p>
      <w:pPr>
        <w:pStyle w:val="Nivel2"/>
        <w:widowControl/>
        <w:numPr>
          <w:ilvl w:val="0"/>
          <w:numId w:val="0"/>
        </w:numPr>
        <w:tabs>
          <w:tab w:val="clear" w:pos="408"/>
          <w:tab w:val="left" w:pos="567" w:leader="none"/>
        </w:tabs>
        <w:bidi w:val="0"/>
        <w:spacing w:lineRule="auto" w:line="276" w:before="0" w:after="170"/>
        <w:ind w:left="0" w:right="0" w:hanging="0"/>
        <w:jc w:val="both"/>
        <w:rPr/>
      </w:pPr>
      <w:r>
        <w:rPr>
          <w:rFonts w:eastAsia="ＭＳ ゴシック" w:cs="Arial" w:ascii="Times new roman" w:hAnsi="Times new roman"/>
          <w:i w:val="false"/>
          <w:iCs w:val="false"/>
          <w:color w:val="000000"/>
          <w:sz w:val="24"/>
          <w:szCs w:val="24"/>
          <w:shd w:fill="auto" w:val="clear"/>
          <w:lang w:eastAsia="pt-BR"/>
        </w:rPr>
        <w:t>Exigências de habilitação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Para fins de habilitação, deverá o licitante comprovar os seguintes requisitos:</w:t>
      </w:r>
    </w:p>
    <w:p>
      <w:pPr>
        <w:pStyle w:val="Nivel2"/>
        <w:widowControl/>
        <w:numPr>
          <w:ilvl w:val="0"/>
          <w:numId w:val="0"/>
        </w:numPr>
        <w:tabs>
          <w:tab w:val="clear" w:pos="408"/>
          <w:tab w:val="left" w:pos="567" w:leader="none"/>
        </w:tabs>
        <w:bidi w:val="0"/>
        <w:spacing w:lineRule="auto" w:line="276" w:before="0" w:after="170"/>
        <w:ind w:left="0" w:right="0" w:hanging="0"/>
        <w:jc w:val="both"/>
        <w:rPr/>
      </w:pPr>
      <w:r>
        <w:rPr>
          <w:rFonts w:eastAsia="Arial" w:cs="Arial" w:ascii="Times new roman" w:hAnsi="Times new roman"/>
          <w:i w:val="false"/>
          <w:iCs w:val="false"/>
          <w:color w:val="000000"/>
          <w:sz w:val="24"/>
          <w:szCs w:val="24"/>
          <w:lang w:eastAsia="pt-BR"/>
        </w:rPr>
        <w:t>Habilitação jurídica</w:t>
      </w:r>
    </w:p>
    <w:p>
      <w:pPr>
        <w:pStyle w:val="Nivel2"/>
        <w:widowControl/>
        <w:numPr>
          <w:ilvl w:val="1"/>
          <w:numId w:val="2"/>
        </w:numPr>
        <w:tabs>
          <w:tab w:val="clear" w:pos="408"/>
          <w:tab w:val="left" w:pos="567" w:leader="none"/>
        </w:tabs>
        <w:bidi w:val="0"/>
        <w:spacing w:lineRule="auto" w:line="276" w:before="0" w:after="170"/>
        <w:ind w:left="0" w:right="0" w:hanging="0"/>
        <w:jc w:val="both"/>
        <w:rPr/>
      </w:pPr>
      <w:bookmarkStart w:id="0" w:name="_Ref115800561"/>
      <w:r>
        <w:rPr>
          <w:rFonts w:ascii="Times new roman" w:hAnsi="Times new roman"/>
          <w:b w:val="false"/>
          <w:bCs w:val="false"/>
          <w:i w:val="false"/>
          <w:iCs w:val="false"/>
          <w:color w:val="000000"/>
          <w:sz w:val="24"/>
          <w:szCs w:val="24"/>
        </w:rPr>
        <w:t>Pessoa física: cédula de identidade (RG) ou documento equivalente que, por força de lei, tenha validade para fins de identificação em todo o território nacional;</w:t>
      </w:r>
      <w:bookmarkEnd w:id="0"/>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Empresário individual: inscrição no Registro Público de Empresas Mercantis, a cargo da Junta Comercial da respectiva sede; </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Microempreendedor Individual - MEI: Certificado da Condição de Microempreendedor Individual - CCMEI, cuja aceitação ficará condicionada à verificação da autenticidade no sítio </w:t>
      </w:r>
      <w:hyperlink r:id="rId7">
        <w:r>
          <w:rPr>
            <w:rStyle w:val="LinkdaInternet"/>
            <w:rFonts w:ascii="Times new roman" w:hAnsi="Times new roman"/>
            <w:b w:val="false"/>
            <w:bCs w:val="false"/>
            <w:i w:val="false"/>
            <w:iCs w:val="false"/>
            <w:color w:val="000000"/>
            <w:sz w:val="24"/>
            <w:szCs w:val="24"/>
          </w:rPr>
          <w:t>https://www.gov.br/empresas-e-negocios/pt-br/empreendedor</w:t>
        </w:r>
      </w:hyperlink>
      <w:r>
        <w:rPr>
          <w:rFonts w:ascii="Times new roman" w:hAnsi="Times new roman"/>
          <w:b w:val="false"/>
          <w:bCs w:val="false"/>
          <w:i w:val="false"/>
          <w:iCs w:val="false"/>
          <w:color w:val="000000"/>
          <w:sz w:val="24"/>
          <w:szCs w:val="24"/>
        </w:rPr>
        <w:t xml:space="preserve">; </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LinkdaInternet"/>
            <w:rFonts w:ascii="Times new roman" w:hAnsi="Times new roman"/>
            <w:b w:val="false"/>
            <w:bCs w:val="false"/>
            <w:i w:val="false"/>
            <w:iCs w:val="false"/>
            <w:color w:val="000000"/>
            <w:sz w:val="24"/>
            <w:szCs w:val="24"/>
          </w:rPr>
          <w:t>Normativa DREI/ME n.º 77, de 18 de março de 2020</w:t>
        </w:r>
      </w:hyperlink>
      <w:r>
        <w:rPr>
          <w:rFonts w:ascii="Times new roman" w:hAnsi="Times new roman"/>
          <w:b w:val="false"/>
          <w:bCs w:val="false"/>
          <w:i w:val="false"/>
          <w:iCs w:val="false"/>
          <w:color w:val="000000"/>
          <w:sz w:val="24"/>
          <w:szCs w:val="24"/>
        </w:rPr>
        <w:t>.</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Sociedade simples: inscrição do ato constitutivo no Registro Civil de Pessoas Jurídicas do local de sua sede, acompanhada de documento comprobatório de seus administradores;</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 w:name="_Int_ySfCXwr4"/>
      <w:r>
        <w:rPr>
          <w:rFonts w:ascii="Times new roman" w:hAnsi="Times new roman"/>
          <w:b w:val="false"/>
          <w:bCs w:val="false"/>
          <w:i w:val="false"/>
          <w:iCs w:val="false"/>
          <w:color w:val="000000"/>
          <w:sz w:val="24"/>
          <w:szCs w:val="24"/>
        </w:rPr>
        <w:t>Mercantis onde</w:t>
      </w:r>
      <w:bookmarkEnd w:id="1"/>
      <w:r>
        <w:rPr>
          <w:rFonts w:ascii="Times new roman" w:hAnsi="Times new roman"/>
          <w:b w:val="false"/>
          <w:bCs w:val="false"/>
          <w:i w:val="false"/>
          <w:iCs w:val="false"/>
          <w:color w:val="000000"/>
          <w:sz w:val="24"/>
          <w:szCs w:val="24"/>
        </w:rPr>
        <w:t xml:space="preserve"> opera, com averbação no Registro onde tem sede a matriz.</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Agricultor familiar: Declaração de Aptidão ao Pronaf – DAP ou DAP-P válida, ou, ainda, outros documentos definidos pela Secretaria Especial de Agricultura Familiar e do Desenvolvimento Agrário, nos termos do</w:t>
      </w:r>
      <w:r>
        <w:fldChar w:fldCharType="begin"/>
      </w:r>
      <w:r>
        <w:rPr>
          <w:rStyle w:val="LinkdaInternet"/>
          <w:sz w:val="24"/>
          <w:i w:val="false"/>
          <w:b w:val="false"/>
          <w:szCs w:val="24"/>
          <w:iCs w:val="false"/>
          <w:bCs w:val="false"/>
          <w:rFonts w:ascii="Times new roman" w:hAnsi="Times new roman"/>
          <w:color w:val="000000"/>
        </w:rPr>
        <w:instrText> HYPERLINK "https://www.planalto.gov.br/ccivil_03/_ato2019-2022/2021/decreto/d10880.htm" \l "art4§2"</w:instrText>
      </w:r>
      <w:r>
        <w:rPr>
          <w:rStyle w:val="LinkdaInternet"/>
          <w:sz w:val="24"/>
          <w:i w:val="false"/>
          <w:b w:val="false"/>
          <w:szCs w:val="24"/>
          <w:iCs w:val="false"/>
          <w:bCs w:val="false"/>
          <w:rFonts w:ascii="Times new roman" w:hAnsi="Times new roman"/>
          <w:color w:val="000000"/>
        </w:rPr>
        <w:fldChar w:fldCharType="separate"/>
      </w:r>
      <w:r>
        <w:rPr>
          <w:rStyle w:val="LinkdaInternet"/>
          <w:rFonts w:ascii="Times new roman" w:hAnsi="Times new roman"/>
          <w:b w:val="false"/>
          <w:bCs w:val="false"/>
          <w:i w:val="false"/>
          <w:iCs w:val="false"/>
          <w:color w:val="000000"/>
          <w:sz w:val="24"/>
          <w:szCs w:val="24"/>
        </w:rPr>
        <w:t xml:space="preserve"> art. 4º, §2º do Decreto nº 10.880, de 2 de dezembro de 2021</w:t>
      </w:r>
      <w:r>
        <w:rPr>
          <w:rStyle w:val="LinkdaInternet"/>
          <w:sz w:val="24"/>
          <w:i w:val="false"/>
          <w:b w:val="false"/>
          <w:szCs w:val="24"/>
          <w:iCs w:val="false"/>
          <w:bCs w:val="false"/>
          <w:rFonts w:ascii="Times new roman" w:hAnsi="Times new roman"/>
          <w:color w:val="000000"/>
        </w:rPr>
        <w:fldChar w:fldCharType="end"/>
      </w:r>
      <w:r>
        <w:rPr>
          <w:rFonts w:ascii="Times new roman" w:hAnsi="Times new roman"/>
          <w:b w:val="false"/>
          <w:bCs w:val="false"/>
          <w:i w:val="false"/>
          <w:iCs w:val="false"/>
          <w:color w:val="000000"/>
          <w:sz w:val="24"/>
          <w:szCs w:val="24"/>
        </w:rPr>
        <w:t>.</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Produtor Rural: matrícula no Cadastro Específico do INSS – CEI, que comprove a qualificação como produtor rural pessoa física, nos termos da </w:t>
      </w:r>
      <w:hyperlink r:id="rId9">
        <w:r>
          <w:rPr>
            <w:rStyle w:val="LinkdaInternet"/>
            <w:rFonts w:ascii="Times new roman" w:hAnsi="Times new roman"/>
            <w:b w:val="false"/>
            <w:bCs w:val="false"/>
            <w:i w:val="false"/>
            <w:iCs w:val="false"/>
            <w:color w:val="000000"/>
            <w:sz w:val="24"/>
            <w:szCs w:val="24"/>
          </w:rPr>
          <w:t>Instrução Normativa RFB n. 971, de 13 de novembro de 2009</w:t>
        </w:r>
      </w:hyperlink>
      <w:r>
        <w:rPr>
          <w:rFonts w:ascii="Times new roman" w:hAnsi="Times new roman"/>
          <w:b w:val="false"/>
          <w:bCs w:val="false"/>
          <w:i w:val="false"/>
          <w:iCs w:val="false"/>
          <w:color w:val="000000"/>
          <w:sz w:val="24"/>
          <w:szCs w:val="24"/>
        </w:rPr>
        <w:t xml:space="preserve"> (arts. 17 a 19 e 165).</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Os documentos apresentados deverão estar acompanhados de todas as alterações ou da consolidação respectiva.</w:t>
      </w:r>
    </w:p>
    <w:p>
      <w:pPr>
        <w:pStyle w:val="Nivel2"/>
        <w:widowControl/>
        <w:numPr>
          <w:ilvl w:val="0"/>
          <w:numId w:val="0"/>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rPr>
        <w:t>Habilitação fiscal, social e trabalhista</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Prova de inscrição no Cadastro Nacional de Pessoas Jurídicas ou no Cadastro de Pessoas Físicas, conforme o caso;</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Prova de regularidade com o Fundo de Garantia do Tempo de Serviço (FGTS);</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 xml:space="preserve">Prova de inscrição no cadastro de contribuintes [Estadual/Distrital] ou [Municipal/Distrital] relativo ao domicílio ou sede do fornecedor, pertinente ao seu ramo de atividade e compatível com o objeto contratual; </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Prova de regularidade com a Fazenda [Estadual/Distrital] ou [Municipal/Distrital] do domicílio ou sede do fornecedor, relativa à atividade em cujo exercício contrata ou concorre;</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pPr>
        <w:pStyle w:val="Nivel2"/>
        <w:widowControl/>
        <w:numPr>
          <w:ilvl w:val="1"/>
          <w:numId w:val="2"/>
        </w:numPr>
        <w:tabs>
          <w:tab w:val="clear" w:pos="408"/>
          <w:tab w:val="left" w:pos="567" w:leader="none"/>
        </w:tabs>
        <w:bidi w:val="0"/>
        <w:spacing w:lineRule="auto" w:line="276" w:before="0" w:after="170"/>
        <w:ind w:left="0" w:right="0" w:hanging="0"/>
        <w:jc w:val="both"/>
        <w:rPr/>
      </w:pPr>
      <w:r>
        <w:rPr>
          <w:rFonts w:ascii="Times new roman" w:hAnsi="Times new roman"/>
          <w:b w:val="false"/>
          <w:bCs w:val="false"/>
          <w:i w:val="false"/>
          <w:iCs w:val="false"/>
          <w:color w:val="000000"/>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ivel2"/>
        <w:widowControl/>
        <w:numPr>
          <w:ilvl w:val="0"/>
          <w:numId w:val="2"/>
        </w:numPr>
        <w:tabs>
          <w:tab w:val="clear" w:pos="408"/>
          <w:tab w:val="left" w:pos="567" w:leader="none"/>
        </w:tabs>
        <w:bidi w:val="0"/>
        <w:spacing w:lineRule="auto" w:line="276" w:before="0" w:after="170"/>
        <w:ind w:left="0" w:right="0" w:hanging="0"/>
        <w:jc w:val="both"/>
        <w:rPr/>
      </w:pPr>
      <w:r>
        <w:rPr>
          <w:rFonts w:ascii="Times new roman" w:hAnsi="Times new roman"/>
          <w:i w:val="false"/>
          <w:iCs w:val="false"/>
          <w:color w:val="000000"/>
          <w:sz w:val="24"/>
          <w:szCs w:val="24"/>
        </w:rPr>
        <w:t>ESTIMATIVAS DO VALOR DA CONTRATAÇÃO</w:t>
      </w:r>
    </w:p>
    <w:p>
      <w:pPr>
        <w:pStyle w:val="Nivel2"/>
        <w:widowControl/>
        <w:numPr>
          <w:ilvl w:val="0"/>
          <w:numId w:val="2"/>
        </w:numPr>
        <w:tabs>
          <w:tab w:val="clear" w:pos="408"/>
          <w:tab w:val="left" w:pos="567" w:leader="none"/>
        </w:tabs>
        <w:bidi w:val="0"/>
        <w:spacing w:lineRule="auto" w:line="276" w:before="0" w:after="170"/>
        <w:ind w:left="0" w:right="0" w:hanging="0"/>
        <w:jc w:val="both"/>
        <w:rPr/>
      </w:pPr>
      <w:r>
        <w:rPr>
          <w:rFonts w:eastAsia="ＭＳ ゴシック" w:ascii="Times new roman" w:hAnsi="Times new roman"/>
          <w:b w:val="false"/>
          <w:bCs w:val="false"/>
          <w:i w:val="false"/>
          <w:iCs w:val="false"/>
          <w:color w:val="000000"/>
          <w:sz w:val="24"/>
          <w:szCs w:val="24"/>
          <w:lang w:eastAsia="pt-BR"/>
        </w:rPr>
        <w:t xml:space="preserve">O custo estimado total da contratação é de </w:t>
      </w:r>
      <w:r>
        <w:rPr>
          <w:rStyle w:val="Fontepargpadro1"/>
          <w:rFonts w:eastAsia="SimSun;宋体" w:cs="Times New Roman" w:ascii="Times new roman" w:hAnsi="Times new roman"/>
          <w:b w:val="false"/>
          <w:bCs w:val="false"/>
          <w:i w:val="false"/>
          <w:iCs w:val="false"/>
          <w:strike w:val="false"/>
          <w:dstrike w:val="false"/>
          <w:outline w:val="false"/>
          <w:shadow w:val="false"/>
          <w:color w:val="000000"/>
          <w:sz w:val="24"/>
          <w:szCs w:val="24"/>
          <w:u w:val="single"/>
          <w:em w:val="none"/>
          <w:lang w:eastAsia="pt-BR"/>
        </w:rPr>
        <w:t>R$ 87.967,67 (Oitenta e sete mil, novecentos e sessenta e sete reais e sessenta e sete centavos),</w:t>
      </w:r>
      <w:r>
        <w:rPr>
          <w:rFonts w:eastAsia="ＭＳ ゴシック" w:ascii="Times new roman" w:hAnsi="Times new roman"/>
          <w:b w:val="false"/>
          <w:bCs w:val="false"/>
          <w:i w:val="false"/>
          <w:iCs w:val="false"/>
          <w:color w:val="000000"/>
          <w:sz w:val="24"/>
          <w:szCs w:val="24"/>
          <w:lang w:eastAsia="pt-BR"/>
        </w:rPr>
        <w:t xml:space="preserve"> conforme custos unitários apostos no Mapa Comparativo anexo.</w:t>
      </w:r>
    </w:p>
    <w:p>
      <w:pPr>
        <w:pStyle w:val="Nivel01"/>
        <w:keepNext w:val="true"/>
        <w:keepLines/>
        <w:widowControl/>
        <w:numPr>
          <w:ilvl w:val="0"/>
          <w:numId w:val="2"/>
        </w:numPr>
        <w:bidi w:val="0"/>
        <w:spacing w:lineRule="auto" w:line="276" w:before="0" w:after="170"/>
        <w:ind w:left="0" w:right="0" w:hanging="0"/>
        <w:jc w:val="both"/>
        <w:rPr/>
      </w:pPr>
      <w:r>
        <w:rPr>
          <w:rFonts w:eastAsia="ＭＳ ゴシック" w:cs="Arial" w:ascii="Times new roman" w:hAnsi="Times new roman"/>
          <w:b/>
          <w:bCs/>
          <w:i w:val="false"/>
          <w:iCs w:val="false"/>
          <w:color w:val="000000"/>
          <w:sz w:val="24"/>
          <w:szCs w:val="24"/>
          <w:lang w:eastAsia="pt-BR"/>
        </w:rPr>
        <w:t>ADEQUAÇÃO ORÇAMENTÁRIA</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As despesas decorrentes da presente contratação correrão à conta de recursos específicos consignados no Orçamento Geral da União.</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A contratação será atendida pela seguinte dotação:</w:t>
      </w:r>
    </w:p>
    <w:p>
      <w:pPr>
        <w:pStyle w:val="ListParagraph"/>
        <w:numPr>
          <w:ilvl w:val="0"/>
          <w:numId w:val="0"/>
        </w:numPr>
        <w:spacing w:lineRule="auto" w:line="276" w:before="0" w:after="170"/>
        <w:ind w:left="0" w:right="0" w:hanging="0"/>
        <w:contextualSpacing/>
        <w:jc w:val="both"/>
        <w:rPr/>
      </w:pPr>
      <w:r>
        <w:rPr>
          <w:rFonts w:eastAsia="Arial" w:cs="Arial" w:ascii="Times new roman" w:hAnsi="Times new roman"/>
          <w:i w:val="false"/>
          <w:iCs w:val="false"/>
          <w:color w:val="CE181E"/>
          <w:sz w:val="24"/>
          <w:szCs w:val="24"/>
        </w:rPr>
        <w:t>I) Gestão/Unidade: [...];</w:t>
      </w:r>
    </w:p>
    <w:p>
      <w:pPr>
        <w:pStyle w:val="ListParagraph"/>
        <w:numPr>
          <w:ilvl w:val="0"/>
          <w:numId w:val="0"/>
        </w:numPr>
        <w:spacing w:lineRule="auto" w:line="276" w:before="0" w:after="170"/>
        <w:ind w:left="0" w:right="0" w:hanging="0"/>
        <w:contextualSpacing/>
        <w:jc w:val="both"/>
        <w:rPr/>
      </w:pPr>
      <w:r>
        <w:rPr>
          <w:rFonts w:eastAsia="Arial" w:cs="Arial" w:ascii="Times new roman" w:hAnsi="Times new roman"/>
          <w:i w:val="false"/>
          <w:iCs w:val="false"/>
          <w:color w:val="CE181E"/>
          <w:sz w:val="24"/>
          <w:szCs w:val="24"/>
        </w:rPr>
        <w:t>II) Fonte de Recursos: [...];</w:t>
      </w:r>
    </w:p>
    <w:p>
      <w:pPr>
        <w:pStyle w:val="ListParagraph"/>
        <w:numPr>
          <w:ilvl w:val="0"/>
          <w:numId w:val="0"/>
        </w:numPr>
        <w:spacing w:lineRule="auto" w:line="276" w:before="0" w:after="170"/>
        <w:ind w:left="0" w:right="0" w:hanging="0"/>
        <w:contextualSpacing/>
        <w:jc w:val="both"/>
        <w:rPr/>
      </w:pPr>
      <w:r>
        <w:rPr>
          <w:rFonts w:eastAsia="Arial" w:cs="Arial" w:ascii="Times new roman" w:hAnsi="Times new roman"/>
          <w:i w:val="false"/>
          <w:iCs w:val="false"/>
          <w:color w:val="CE181E"/>
          <w:sz w:val="24"/>
          <w:szCs w:val="24"/>
        </w:rPr>
        <w:t>III) Programa de Trabalho: [...];</w:t>
      </w:r>
    </w:p>
    <w:p>
      <w:pPr>
        <w:pStyle w:val="ListParagraph"/>
        <w:numPr>
          <w:ilvl w:val="0"/>
          <w:numId w:val="0"/>
        </w:numPr>
        <w:spacing w:lineRule="auto" w:line="276" w:before="0" w:after="170"/>
        <w:ind w:left="0" w:right="0" w:hanging="0"/>
        <w:contextualSpacing/>
        <w:jc w:val="both"/>
        <w:rPr/>
      </w:pPr>
      <w:r>
        <w:rPr>
          <w:rFonts w:eastAsia="Arial" w:cs="Arial" w:ascii="Times new roman" w:hAnsi="Times new roman"/>
          <w:i w:val="false"/>
          <w:iCs w:val="false"/>
          <w:color w:val="CE181E"/>
          <w:sz w:val="24"/>
          <w:szCs w:val="24"/>
        </w:rPr>
        <w:t>IV) Elemento de Despesa: [...];</w:t>
      </w:r>
    </w:p>
    <w:p>
      <w:pPr>
        <w:pStyle w:val="ListParagraph"/>
        <w:numPr>
          <w:ilvl w:val="0"/>
          <w:numId w:val="0"/>
        </w:numPr>
        <w:spacing w:lineRule="auto" w:line="276" w:before="0" w:after="170"/>
        <w:ind w:left="0" w:right="0" w:hanging="0"/>
        <w:contextualSpacing/>
        <w:jc w:val="both"/>
        <w:rPr/>
      </w:pPr>
      <w:r>
        <w:rPr>
          <w:rFonts w:eastAsia="Arial" w:cs="Arial" w:ascii="Times new roman" w:hAnsi="Times new roman"/>
          <w:i w:val="false"/>
          <w:iCs w:val="false"/>
          <w:color w:val="CE181E"/>
          <w:sz w:val="24"/>
          <w:szCs w:val="24"/>
        </w:rPr>
        <w:t>V) Plano Interno: [...];</w:t>
      </w:r>
    </w:p>
    <w:p>
      <w:pPr>
        <w:pStyle w:val="Nivel01"/>
        <w:numPr>
          <w:ilvl w:val="1"/>
          <w:numId w:val="2"/>
        </w:numPr>
        <w:spacing w:lineRule="auto" w:line="276" w:before="0" w:after="170"/>
        <w:ind w:left="0" w:right="0" w:hanging="0"/>
        <w:jc w:val="both"/>
        <w:rPr/>
      </w:pPr>
      <w:r>
        <w:rPr>
          <w:rFonts w:ascii="Times new roman" w:hAnsi="Times new roman"/>
          <w:b w:val="false"/>
          <w:bCs w:val="false"/>
          <w:i w:val="false"/>
          <w:iCs w:val="false"/>
          <w:color w:val="000000"/>
          <w:sz w:val="24"/>
          <w:szCs w:val="24"/>
        </w:rPr>
        <w:t>A dotação relativa aos exercícios financeiros subsequentes será indicada após aprovação da Lei Orçamentária respectiva e liberação dos créditos correspondentes, mediante apostilamento.</w:t>
      </w:r>
    </w:p>
    <w:p>
      <w:pPr>
        <w:pStyle w:val="Normal"/>
        <w:spacing w:lineRule="auto" w:line="276" w:before="0" w:after="170"/>
        <w:ind w:left="0" w:right="0" w:hanging="0"/>
        <w:jc w:val="both"/>
        <w:rPr>
          <w:b w:val="false"/>
          <w:b w:val="false"/>
          <w:bCs w:val="false"/>
          <w:i w:val="false"/>
          <w:i w:val="false"/>
          <w:iCs w:val="false"/>
          <w:color w:val="000000"/>
        </w:rPr>
      </w:pPr>
      <w:r>
        <w:rPr>
          <w:b w:val="false"/>
          <w:bCs w:val="false"/>
          <w:i w:val="false"/>
          <w:iCs w:val="false"/>
          <w:color w:val="000000"/>
        </w:rPr>
      </w:r>
    </w:p>
    <w:p>
      <w:pPr>
        <w:pStyle w:val="Normal"/>
        <w:spacing w:lineRule="auto" w:line="276" w:before="0" w:after="170"/>
        <w:ind w:left="0" w:right="0" w:hanging="0"/>
        <w:jc w:val="both"/>
        <w:rPr>
          <w:b w:val="false"/>
          <w:b w:val="false"/>
          <w:bCs w:val="false"/>
          <w:i w:val="false"/>
          <w:i w:val="false"/>
          <w:iCs w:val="false"/>
          <w:color w:val="000000"/>
        </w:rPr>
      </w:pPr>
      <w:r>
        <w:rPr>
          <w:b w:val="false"/>
          <w:bCs w:val="false"/>
          <w:i w:val="false"/>
          <w:iCs w:val="false"/>
          <w:color w:val="000000"/>
        </w:rPr>
      </w:r>
    </w:p>
    <w:p>
      <w:pPr>
        <w:pStyle w:val="Nivel2"/>
        <w:widowControl/>
        <w:suppressAutoHyphens w:val="true"/>
        <w:bidi w:val="0"/>
        <w:spacing w:lineRule="auto" w:line="276" w:before="120" w:after="120"/>
        <w:ind w:left="0" w:right="0" w:hanging="0"/>
        <w:jc w:val="center"/>
        <w:rPr/>
      </w:pPr>
      <w:r>
        <w:rPr>
          <w:rFonts w:eastAsia="Arial" w:cs="Times New Roman" w:ascii="Times new roman" w:hAnsi="Times new roman"/>
          <w:color w:val="000000"/>
          <w:kern w:val="0"/>
          <w:sz w:val="24"/>
          <w:szCs w:val="24"/>
          <w:lang w:val="pt-BR" w:eastAsia="pt-BR" w:bidi="ar-SA"/>
        </w:rPr>
        <w:t>Curitiba, 18 de Julho de 2023.</w:t>
      </w:r>
    </w:p>
    <w:p>
      <w:pPr>
        <w:pStyle w:val="ListParagraph"/>
        <w:widowControl/>
        <w:suppressAutoHyphens w:val="true"/>
        <w:bidi w:val="0"/>
        <w:spacing w:lineRule="auto" w:line="276"/>
        <w:ind w:left="0" w:right="0" w:hanging="0"/>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Normal"/>
        <w:widowControl/>
        <w:suppressAutoHyphens w:val="true"/>
        <w:bidi w:val="0"/>
        <w:spacing w:lineRule="auto" w:line="276"/>
        <w:ind w:left="0" w:right="0" w:hanging="0"/>
        <w:jc w:val="center"/>
        <w:rPr/>
      </w:pPr>
      <w:r>
        <w:rPr>
          <w:rFonts w:cs="Times New Roman" w:ascii="Times new roman" w:hAnsi="Times new roman"/>
          <w:b/>
          <w:bCs/>
          <w:color w:val="000000"/>
          <w:sz w:val="24"/>
          <w:szCs w:val="24"/>
          <w:lang w:val="pt-BR" w:bidi="ar-SA"/>
        </w:rPr>
        <w:t>WILLIAM DE CRISTO BERNARDIM DE ANDRADE – Maj</w:t>
      </w:r>
    </w:p>
    <w:p>
      <w:pPr>
        <w:pStyle w:val="ListParagraph"/>
        <w:widowControl/>
        <w:suppressAutoHyphens w:val="true"/>
        <w:bidi w:val="0"/>
        <w:spacing w:lineRule="auto" w:line="276"/>
        <w:ind w:left="0" w:right="0" w:hanging="0"/>
        <w:jc w:val="center"/>
        <w:rPr/>
      </w:pPr>
      <w:r>
        <w:rPr>
          <w:rFonts w:cs="Times New Roman" w:ascii="Times new roman" w:hAnsi="Times new roman"/>
          <w:color w:val="000000"/>
          <w:sz w:val="24"/>
          <w:szCs w:val="24"/>
          <w:lang w:val="pt-BR" w:bidi="ar-SA"/>
        </w:rPr>
        <w:t>Chefe da Equipe de Planejamentos</w:t>
      </w:r>
    </w:p>
    <w:p>
      <w:pPr>
        <w:pStyle w:val="LONormal"/>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Normal"/>
        <w:widowControl/>
        <w:suppressAutoHyphens w:val="true"/>
        <w:bidi w:val="0"/>
        <w:spacing w:lineRule="auto" w:line="276"/>
        <w:ind w:left="0" w:right="0" w:hanging="0"/>
        <w:jc w:val="center"/>
        <w:rPr/>
      </w:pPr>
      <w:r>
        <w:rPr>
          <w:rFonts w:cs="Times New Roman" w:ascii="Times new roman" w:hAnsi="Times new roman"/>
          <w:b/>
          <w:bCs/>
          <w:color w:val="000000"/>
          <w:sz w:val="24"/>
          <w:szCs w:val="24"/>
          <w:lang w:val="pt-BR" w:bidi="ar-SA"/>
        </w:rPr>
        <w:t>SÉRGIO JOÃO BUFFON JUNIOR – Cap</w:t>
      </w:r>
    </w:p>
    <w:p>
      <w:pPr>
        <w:pStyle w:val="ListParagraph"/>
        <w:widowControl/>
        <w:suppressAutoHyphens w:val="true"/>
        <w:bidi w:val="0"/>
        <w:spacing w:lineRule="auto" w:line="276"/>
        <w:ind w:left="0" w:right="0" w:hanging="0"/>
        <w:jc w:val="center"/>
        <w:rPr/>
      </w:pPr>
      <w:r>
        <w:rPr>
          <w:rFonts w:cs="Times New Roman" w:ascii="Times new roman" w:hAnsi="Times new roman"/>
          <w:color w:val="000000"/>
          <w:sz w:val="24"/>
          <w:szCs w:val="24"/>
          <w:lang w:val="pt-BR" w:bidi="ar-SA"/>
        </w:rPr>
        <w:t>Membro da Equipe de Planejamentos</w:t>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ListParagraph"/>
        <w:widowControl/>
        <w:suppressAutoHyphens w:val="true"/>
        <w:bidi w:val="0"/>
        <w:spacing w:lineRule="auto" w:line="276"/>
        <w:ind w:left="0" w:right="0" w:hanging="0"/>
        <w:jc w:val="center"/>
        <w:rPr>
          <w:rFonts w:ascii="Times new roman" w:hAnsi="Times new roman" w:cs="Times New Roman"/>
          <w:color w:val="000000"/>
          <w:sz w:val="24"/>
          <w:szCs w:val="24"/>
          <w:lang w:val="pt-BR" w:bidi="ar-SA"/>
        </w:rPr>
      </w:pPr>
      <w:r>
        <w:rPr>
          <w:rFonts w:cs="Times New Roman" w:ascii="Times new roman" w:hAnsi="Times new roman"/>
          <w:color w:val="000000"/>
          <w:sz w:val="24"/>
          <w:szCs w:val="24"/>
          <w:lang w:val="pt-BR" w:bidi="ar-SA"/>
        </w:rPr>
      </w:r>
    </w:p>
    <w:p>
      <w:pPr>
        <w:pStyle w:val="Normal"/>
        <w:widowControl/>
        <w:suppressAutoHyphens w:val="true"/>
        <w:bidi w:val="0"/>
        <w:spacing w:lineRule="auto" w:line="276"/>
        <w:ind w:left="0" w:right="0" w:hanging="0"/>
        <w:jc w:val="center"/>
        <w:rPr/>
      </w:pPr>
      <w:r>
        <w:rPr>
          <w:rFonts w:cs="Times New Roman" w:ascii="Times new roman" w:hAnsi="Times new roman"/>
          <w:b/>
          <w:bCs/>
          <w:color w:val="000000"/>
          <w:sz w:val="24"/>
          <w:szCs w:val="24"/>
          <w:lang w:val="pt-BR" w:bidi="ar-SA"/>
        </w:rPr>
        <w:t>RALF MILBRADT JUNIOR – SC</w:t>
      </w:r>
    </w:p>
    <w:p>
      <w:pPr>
        <w:pStyle w:val="ListParagraph"/>
        <w:widowControl/>
        <w:suppressAutoHyphens w:val="true"/>
        <w:bidi w:val="0"/>
        <w:spacing w:lineRule="auto" w:line="276"/>
        <w:ind w:left="0" w:right="0" w:hanging="0"/>
        <w:jc w:val="center"/>
        <w:rPr/>
      </w:pPr>
      <w:r>
        <w:rPr>
          <w:rFonts w:cs="Times New Roman" w:ascii="Times new roman" w:hAnsi="Times new roman"/>
          <w:color w:val="000000"/>
          <w:sz w:val="24"/>
          <w:szCs w:val="24"/>
          <w:lang w:val="pt-BR" w:bidi="ar-SA"/>
        </w:rPr>
        <w:t>Assessor Técnico da Equipe de Planejamentos</w:t>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rFonts w:ascii="Times new roman" w:hAnsi="Times new roman"/>
          <w:sz w:val="24"/>
          <w:szCs w:val="24"/>
        </w:rPr>
      </w:pPr>
      <w:r>
        <w:rPr>
          <w:rFonts w:ascii="Times new roman" w:hAnsi="Times new roman"/>
          <w:sz w:val="24"/>
          <w:szCs w:val="24"/>
        </w:rPr>
      </w:r>
    </w:p>
    <w:p>
      <w:pPr>
        <w:pStyle w:val="ListParagraph"/>
        <w:numPr>
          <w:ilvl w:val="0"/>
          <w:numId w:val="0"/>
        </w:numPr>
        <w:spacing w:lineRule="auto" w:line="276" w:before="0" w:after="170"/>
        <w:ind w:left="0" w:right="0" w:hanging="0"/>
        <w:contextualSpacing/>
        <w:jc w:val="both"/>
        <w:rPr/>
      </w:pPr>
      <w:r>
        <w:rPr/>
      </w:r>
    </w:p>
    <w:sectPr>
      <w:headerReference w:type="default" r:id="rId10"/>
      <w:footerReference w:type="default" r:id="rId11"/>
      <w:type w:val="nextPage"/>
      <w:pgSz w:w="11906" w:h="16838"/>
      <w:pgMar w:left="1134" w:right="850"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DejaVu Sans" w:cs="DejaVu Sans"/>
          <w:b/>
          <w:color w:val="auto"/>
          <w:lang w:val="en-US" w:eastAsia="en-US" w:bidi="en-US"/>
        </w:rPr>
        <w:t>Nota Explicativa:</w:t>
      </w:r>
      <w:r>
        <w:rPr>
          <w:rFonts w:ascii="Liberation Serif" w:hAnsi="Liberation Serif" w:eastAsia="DejaVu Sans" w:cs="DejaVu Sans"/>
          <w:color w:val="auto"/>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86947473"/>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sz w:val="22"/>
            <w:szCs w:val="22"/>
            <w:shd w:fill="E6E6E6" w:val="clear"/>
          </w:rPr>
          <w:fldChar w:fldCharType="begin"/>
        </w:r>
        <w:r>
          <w:rPr>
            <w:sz w:val="22"/>
            <w:shd w:fill="E6E6E6" w:val="clear"/>
            <w:szCs w:val="22"/>
          </w:rPr>
          <w:instrText> PAGE </w:instrText>
        </w:r>
        <w:r>
          <w:rPr>
            <w:sz w:val="22"/>
            <w:shd w:fill="E6E6E6" w:val="clear"/>
            <w:szCs w:val="22"/>
          </w:rPr>
          <w:fldChar w:fldCharType="separate"/>
        </w:r>
        <w:r>
          <w:rPr>
            <w:sz w:val="22"/>
            <w:shd w:fill="E6E6E6" w:val="clear"/>
            <w:szCs w:val="22"/>
          </w:rPr>
          <w:t>12</w:t>
        </w:r>
        <w:r>
          <w:rPr>
            <w:sz w:val="22"/>
            <w:shd w:fill="E6E6E6" w:val="clear"/>
            <w:szCs w:val="22"/>
          </w:rPr>
          <w:fldChar w:fldCharType="end"/>
        </w:r>
        <w:r>
          <w:rPr>
            <w:color w:val="595959" w:themeColor="text1" w:themeTint="a6"/>
            <w:sz w:val="22"/>
            <w:szCs w:val="22"/>
          </w:rPr>
          <w:t xml:space="preserve"> | </w:t>
        </w:r>
        <w:r>
          <w:rPr>
            <w:sz w:val="22"/>
            <w:szCs w:val="22"/>
            <w:shd w:fill="E6E6E6" w:val="clear"/>
          </w:rPr>
          <w:fldChar w:fldCharType="begin"/>
        </w:r>
        <w:r>
          <w:rPr>
            <w:sz w:val="22"/>
            <w:shd w:fill="E6E6E6" w:val="clear"/>
            <w:szCs w:val="22"/>
          </w:rPr>
          <w:instrText> NUMPAGES </w:instrText>
        </w:r>
        <w:r>
          <w:rPr>
            <w:sz w:val="22"/>
            <w:shd w:fill="E6E6E6" w:val="clear"/>
            <w:szCs w:val="22"/>
          </w:rPr>
          <w:fldChar w:fldCharType="separate"/>
        </w:r>
        <w:r>
          <w:rPr>
            <w:sz w:val="22"/>
            <w:shd w:fill="E6E6E6" w:val="clear"/>
            <w:szCs w:val="22"/>
          </w:rPr>
          <w:t>14</w:t>
        </w:r>
        <w:r>
          <w:rPr>
            <w:sz w:val="22"/>
            <w:shd w:fill="E6E6E6" w:val="clear"/>
            <w:szCs w:val="22"/>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maio/2023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Licitação - Modelo para Pregão Eletrônico</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REFERÊNCIA - AQUISIÇÕES - LICITAÇÃO</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4"/>
        <w:i w:val="false"/>
        <w:u w:val="none"/>
        <w:b/>
        <w:szCs w:val="20"/>
        <w:bCs/>
        <w:color w:val="00000A"/>
      </w:rPr>
    </w:lvl>
    <w:lvl w:ilvl="2">
      <w:start w:val="1"/>
      <w:numFmt w:val="decimal"/>
      <w:lvlText w:val="%1.%2.%3."/>
      <w:lvlJc w:val="left"/>
      <w:pPr>
        <w:tabs>
          <w:tab w:val="num" w:pos="0"/>
        </w:tabs>
        <w:ind w:left="1781"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sz w:val="24"/>
        <w:b/>
      </w:rPr>
    </w:lvl>
    <w:lvl w:ilvl="1">
      <w:start w:val="1"/>
      <w:numFmt w:val="decimal"/>
      <w:lvlText w:val="%1.%2."/>
      <w:lvlJc w:val="left"/>
      <w:pPr>
        <w:tabs>
          <w:tab w:val="num" w:pos="0"/>
        </w:tabs>
        <w:ind w:left="999" w:hanging="432"/>
      </w:pPr>
      <w:rPr>
        <w:dstrike w:val="false"/>
        <w:strike w:val="false"/>
        <w:sz w:val="24"/>
        <w:i w:val="false"/>
        <w:u w:val="none"/>
        <w:b/>
        <w:szCs w:val="20"/>
        <w:bCs/>
        <w:color w:val="00000A"/>
      </w:rPr>
    </w:lvl>
    <w:lvl w:ilvl="2">
      <w:start w:val="1"/>
      <w:numFmt w:val="decimal"/>
      <w:lvlText w:val="%1.%2.%3."/>
      <w:lvlJc w:val="left"/>
      <w:pPr>
        <w:tabs>
          <w:tab w:val="num" w:pos="0"/>
        </w:tabs>
        <w:ind w:left="1781" w:hanging="504"/>
      </w:pPr>
      <w:rPr>
        <w:dstrike w:val="false"/>
        <w:strike w:val="false"/>
        <w:sz w:val="24"/>
        <w:i w:val="false"/>
        <w:b/>
        <w:szCs w:val="20"/>
        <w:bCs/>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408"/>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00000A"/>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4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775cfb"/>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Nvel1SemNumChar" w:customStyle="1">
    <w:name w:val="Nível 1-Sem Num Char"/>
    <w:basedOn w:val="Nivel01Char"/>
    <w:link w:val="Nvel1-SemNum"/>
    <w:qFormat/>
    <w:rsid w:val="00881f44"/>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val="FF0000"/>
      <w:spacing w:val="5"/>
      <w:kern w:val="2"/>
      <w:sz w:val="52"/>
      <w:szCs w:val="52"/>
      <w:lang w:eastAsia="zh-CN" w:bidi="hi-IN"/>
    </w:rPr>
  </w:style>
  <w:style w:type="character" w:styleId="Fontepargpadro1">
    <w:name w:val="Fonte parág. padrão1"/>
    <w:qFormat/>
    <w:rPr/>
  </w:style>
  <w:style w:type="character" w:styleId="Smbolosdenumerao">
    <w:name w:val="Símbolos de numeração"/>
    <w:qFormat/>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Regular"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408"/>
        <w:tab w:val="center" w:pos="4252" w:leader="none"/>
        <w:tab w:val="right" w:pos="8504" w:leader="none"/>
      </w:tabs>
    </w:pPr>
    <w:rPr/>
  </w:style>
  <w:style w:type="paragraph" w:styleId="Rodap">
    <w:name w:val="Footer"/>
    <w:basedOn w:val="Normal"/>
    <w:link w:val="RodapChar"/>
    <w:uiPriority w:val="99"/>
    <w:rsid w:val="00ca24fb"/>
    <w:pPr>
      <w:tabs>
        <w:tab w:val="clear" w:pos="4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keepNext w:val="true"/>
      <w:keepLines/>
      <w:widowControl/>
      <w:tabs>
        <w:tab w:val="clear" w:pos="408"/>
        <w:tab w:val="left" w:pos="567" w:leader="none"/>
      </w:tabs>
      <w:bidi w:val="0"/>
      <w:spacing w:lineRule="auto" w:line="276" w:before="0" w:after="170"/>
      <w:ind w:left="0" w:right="0" w:hanging="0"/>
      <w:jc w:val="both"/>
    </w:pPr>
    <w:rPr>
      <w:rFonts w:ascii="Arial" w:hAnsi="Arial" w:cs="Arial"/>
      <w:b/>
      <w:bCs/>
      <w:color w:val="00000A"/>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84242c"/>
    <w:pPr>
      <w:spacing w:lineRule="auto" w:line="276" w:before="120" w:after="120"/>
      <w:ind w:left="0" w:hanging="0"/>
      <w:jc w:val="center"/>
    </w:pPr>
    <w:rPr>
      <w:rFonts w:ascii="Arial" w:hAnsi="Arial" w:eastAsia="Arial" w:cs="Arial"/>
      <w:b/>
      <w:bCs/>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autoRedefine/>
    <w:qFormat/>
    <w:rsid w:val="005d30b6"/>
    <w:pPr>
      <w:spacing w:lineRule="auto" w:line="276" w:before="120" w:after="120"/>
      <w:ind w:left="284" w:hanging="0"/>
      <w:jc w:val="both"/>
    </w:pPr>
    <w:rPr>
      <w:rFonts w:ascii="Arial" w:hAnsi="Arial" w:cs="Arial"/>
      <w:b w:val="false"/>
      <w:bCs w:val="false"/>
      <w:color w:val="000000"/>
      <w:sz w:val="20"/>
      <w:szCs w:val="20"/>
    </w:rPr>
  </w:style>
  <w:style w:type="paragraph" w:styleId="Nivel4" w:customStyle="1">
    <w:name w:val="Nivel 4"/>
    <w:basedOn w:val="Nivel3"/>
    <w:link w:val="Nivel4Char"/>
    <w:autoRedefine/>
    <w:qFormat/>
    <w:rsid w:val="00da3ef1"/>
    <w:pPr>
      <w:ind w:left="567" w:hanging="0"/>
    </w:pPr>
    <w:rPr>
      <w:color w:val="00000A"/>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00000A"/>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hanging="0"/>
      <w:contextualSpacing/>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5cfb"/>
    <w:pPr/>
    <w:rPr>
      <w:i/>
      <w:iCs/>
      <w:color w:val="FF0000"/>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link w:val="Nivel3-erroChar"/>
    <w:qFormat/>
    <w:rsid w:val="005b0afb"/>
    <w:pPr>
      <w:spacing w:lineRule="auto" w:line="240"/>
      <w:ind w:left="425" w:hanging="0"/>
    </w:pPr>
    <w:rPr>
      <w:rFonts w:cs="Tahoma"/>
      <w:color w:val="00000A"/>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val="00000A"/>
      <w:lang w:eastAsia="zh-CN" w:bidi="hi-IN"/>
    </w:rPr>
  </w:style>
  <w:style w:type="paragraph" w:styleId="LONormal">
    <w:name w:val="LO-Normal"/>
    <w:qFormat/>
    <w:pPr>
      <w:widowControl/>
      <w:suppressAutoHyphens w:val="true"/>
      <w:bidi w:val="0"/>
      <w:spacing w:before="0" w:after="0"/>
      <w:jc w:val="left"/>
      <w:textAlignment w:val="baseline"/>
    </w:pPr>
    <w:rPr>
      <w:rFonts w:ascii="Arial" w:hAnsi="Arial" w:eastAsia="Times New Roman" w:cs="Tahoma"/>
      <w:color w:val="00000A"/>
      <w:kern w:val="2"/>
      <w:sz w:val="24"/>
      <w:szCs w:val="24"/>
      <w:lang w:val="pt-BR" w:eastAsia="zh-CN"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comments" Target="comment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Application>LibreOffice/6.4.7.2$Linux_X86_64 LibreOffice_project/40$Build-2</Application>
  <Pages>14</Pages>
  <Words>4463</Words>
  <Characters>25504</Characters>
  <CharactersWithSpaces>29684</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2023-05-22T11:28:00Z</dcterms:created>
  <dc:creator/>
  <dc:description/>
  <dc:language>pt-BR</dc:language>
  <cp:lastModifiedBy/>
  <cp:lastPrinted>2023-08-23T10:01:12Z</cp:lastPrinted>
  <dcterms:modified xsi:type="dcterms:W3CDTF">2023-09-21T11:30:46Z</dcterms:modified>
  <cp:revision>107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